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75D185" w14:textId="4824CECF" w:rsidR="00700EF5" w:rsidRPr="003946AE" w:rsidRDefault="00700EF5" w:rsidP="00700EF5">
      <w:pPr>
        <w:pStyle w:val="3GPPHeader"/>
        <w:spacing w:after="60"/>
        <w:rPr>
          <w:szCs w:val="24"/>
          <w:lang w:val="en-US"/>
        </w:rPr>
      </w:pPr>
      <w:r w:rsidRPr="003E7C85">
        <w:rPr>
          <w:lang w:val="en-US"/>
        </w:rPr>
        <w:t>3GPP TSG-RAN WG2 #</w:t>
      </w:r>
      <w:r w:rsidR="006D1E26" w:rsidRPr="003E7C85">
        <w:rPr>
          <w:lang w:val="en-US"/>
        </w:rPr>
        <w:t>10</w:t>
      </w:r>
      <w:r w:rsidR="00E878E6" w:rsidRPr="003E7C85">
        <w:rPr>
          <w:lang w:val="en-US"/>
        </w:rPr>
        <w:t>3</w:t>
      </w:r>
      <w:r w:rsidR="0083012E">
        <w:rPr>
          <w:lang w:val="en-US"/>
        </w:rPr>
        <w:t>bis</w:t>
      </w:r>
      <w:r w:rsidRPr="003E7C85">
        <w:rPr>
          <w:lang w:val="en-US"/>
        </w:rPr>
        <w:tab/>
      </w:r>
      <w:r w:rsidRPr="003E7C85">
        <w:rPr>
          <w:szCs w:val="24"/>
          <w:lang w:val="en-US"/>
        </w:rPr>
        <w:t>R2-</w:t>
      </w:r>
      <w:r w:rsidR="00D76E5D" w:rsidRPr="003E7C85">
        <w:rPr>
          <w:szCs w:val="24"/>
          <w:lang w:val="en-US"/>
        </w:rPr>
        <w:t xml:space="preserve"> </w:t>
      </w:r>
      <w:r w:rsidR="000D250C" w:rsidRPr="003946AE">
        <w:rPr>
          <w:szCs w:val="24"/>
          <w:lang w:val="en-US"/>
        </w:rPr>
        <w:t>1814335</w:t>
      </w:r>
    </w:p>
    <w:bookmarkStart w:id="0" w:name="_Hlk512676175"/>
    <w:p w14:paraId="31F3A858" w14:textId="3F9CB029" w:rsidR="00700EF5" w:rsidRPr="00A3189F" w:rsidRDefault="00FB4289" w:rsidP="00700EF5">
      <w:pPr>
        <w:pStyle w:val="3GPPHeader"/>
        <w:rPr>
          <w:szCs w:val="24"/>
        </w:rPr>
      </w:pPr>
      <w:r w:rsidRPr="00E57FA4">
        <w:rPr>
          <w:b w:val="0"/>
          <w:noProof/>
        </w:rPr>
        <w:fldChar w:fldCharType="begin"/>
      </w:r>
      <w:r w:rsidRPr="00E57FA4">
        <w:rPr>
          <w:noProof/>
        </w:rPr>
        <w:instrText xml:space="preserve"> HYPERLINK "http://www.3gpp.org/Specification-Groups/" \t "_blank" </w:instrText>
      </w:r>
      <w:r w:rsidRPr="00E57FA4">
        <w:rPr>
          <w:b w:val="0"/>
          <w:noProof/>
        </w:rPr>
        <w:fldChar w:fldCharType="separate"/>
      </w:r>
      <w:r w:rsidRPr="00E57FA4">
        <w:rPr>
          <w:noProof/>
        </w:rPr>
        <w:t>Chengdu</w:t>
      </w:r>
      <w:r w:rsidRPr="00E57FA4">
        <w:rPr>
          <w:b w:val="0"/>
          <w:noProof/>
        </w:rPr>
        <w:fldChar w:fldCharType="end"/>
      </w:r>
      <w:r w:rsidRPr="00E57FA4">
        <w:rPr>
          <w:noProof/>
        </w:rPr>
        <w:t>, China, 08th-12th October 2018</w:t>
      </w:r>
      <w:bookmarkEnd w:id="0"/>
      <w:r w:rsidR="00573362" w:rsidRPr="003E7C85">
        <w:rPr>
          <w:noProof/>
          <w:szCs w:val="24"/>
        </w:rPr>
        <w:tab/>
      </w:r>
    </w:p>
    <w:p w14:paraId="6B8E0751" w14:textId="77777777" w:rsidR="00E90E49" w:rsidRPr="00CE0424" w:rsidRDefault="00E90E49" w:rsidP="00357380">
      <w:pPr>
        <w:pStyle w:val="3GPPHeader"/>
      </w:pPr>
    </w:p>
    <w:p w14:paraId="42BB95FA" w14:textId="77777777" w:rsidR="00E90E49" w:rsidRPr="005842CA" w:rsidRDefault="00E90E49" w:rsidP="00311702">
      <w:pPr>
        <w:pStyle w:val="3GPPHeader"/>
        <w:rPr>
          <w:sz w:val="22"/>
          <w:szCs w:val="22"/>
          <w:lang w:val="en-US"/>
        </w:rPr>
      </w:pPr>
      <w:r w:rsidRPr="00855321">
        <w:rPr>
          <w:sz w:val="22"/>
          <w:szCs w:val="22"/>
          <w:lang w:val="en-US"/>
        </w:rPr>
        <w:t>Agenda Item:</w:t>
      </w:r>
      <w:r w:rsidRPr="00855321">
        <w:rPr>
          <w:sz w:val="22"/>
          <w:szCs w:val="22"/>
          <w:lang w:val="en-US"/>
        </w:rPr>
        <w:tab/>
      </w:r>
      <w:r w:rsidR="005842CA" w:rsidRPr="003946AE">
        <w:rPr>
          <w:sz w:val="22"/>
        </w:rPr>
        <w:t>9.14.2</w:t>
      </w:r>
    </w:p>
    <w:p w14:paraId="317572D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1C43000" w14:textId="7869949D"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1" w:name="_Hlk505093338"/>
      <w:r w:rsidR="000A00F5">
        <w:rPr>
          <w:sz w:val="22"/>
          <w:szCs w:val="22"/>
        </w:rPr>
        <w:t xml:space="preserve">Correction on fallback cases in </w:t>
      </w:r>
      <w:r w:rsidR="00E91AB4" w:rsidRPr="00E91AB4">
        <w:rPr>
          <w:sz w:val="22"/>
          <w:szCs w:val="22"/>
        </w:rPr>
        <w:t>EDT</w:t>
      </w:r>
      <w:bookmarkEnd w:id="1"/>
    </w:p>
    <w:p w14:paraId="5E722DD0" w14:textId="77777777" w:rsidR="00E90E49" w:rsidRDefault="00E90E49" w:rsidP="00D546FF">
      <w:pPr>
        <w:pStyle w:val="3GPPHeader"/>
        <w:rPr>
          <w:sz w:val="22"/>
          <w:szCs w:val="22"/>
        </w:rPr>
      </w:pPr>
      <w:r w:rsidRPr="005842CA">
        <w:rPr>
          <w:sz w:val="22"/>
          <w:szCs w:val="22"/>
        </w:rPr>
        <w:t>Document for:</w:t>
      </w:r>
      <w:r w:rsidRPr="005842CA">
        <w:rPr>
          <w:sz w:val="22"/>
          <w:szCs w:val="22"/>
        </w:rPr>
        <w:tab/>
        <w:t>Discussion, Decision</w:t>
      </w:r>
    </w:p>
    <w:p w14:paraId="143F7AC2" w14:textId="77777777" w:rsidR="00C24345" w:rsidRDefault="00E90E49" w:rsidP="00A2052C">
      <w:pPr>
        <w:pStyle w:val="Heading1"/>
      </w:pPr>
      <w:bookmarkStart w:id="2" w:name="_Ref504493148"/>
      <w:r w:rsidRPr="00CE0424">
        <w:t>Introduction</w:t>
      </w:r>
      <w:bookmarkEnd w:id="2"/>
    </w:p>
    <w:p w14:paraId="1C2655B4" w14:textId="620B5669" w:rsidR="007B049E" w:rsidRDefault="004C2A8E" w:rsidP="00212E79">
      <w:pPr>
        <w:pStyle w:val="BodyText"/>
        <w:rPr>
          <w:rFonts w:cs="Arial"/>
        </w:rPr>
      </w:pPr>
      <w:r>
        <w:rPr>
          <w:rFonts w:cs="Arial"/>
        </w:rPr>
        <w:t xml:space="preserve">In Rel-15 MO EDT, the EDT procedure can be switched back to a legacy connection establishment/resumption in different cases. The fallback can happen at the UE itself after initiating EDT preamble if </w:t>
      </w:r>
      <w:r w:rsidR="00CA6FFB">
        <w:rPr>
          <w:rFonts w:cs="Arial"/>
        </w:rPr>
        <w:t xml:space="preserve">the UL data is large or there is no EDT preamble. Whereas, the network can indicate a UE to fallback by either providing a legacy UL grant in random access response (RAR) in Msg2 or by requesting the UE to continue setup/resume the connection in Msg4. </w:t>
      </w:r>
      <w:r w:rsidR="007B049E">
        <w:rPr>
          <w:rFonts w:cs="Arial"/>
        </w:rPr>
        <w:t xml:space="preserve">This contribution </w:t>
      </w:r>
      <w:r w:rsidR="00DE2F1D">
        <w:rPr>
          <w:rFonts w:cs="Arial"/>
        </w:rPr>
        <w:t xml:space="preserve">revisits the fallback case due to a legacy UL grant in UP-EDT to correct the </w:t>
      </w:r>
      <w:r w:rsidR="00212E79">
        <w:rPr>
          <w:rFonts w:cs="Arial"/>
        </w:rPr>
        <w:t xml:space="preserve">way it is </w:t>
      </w:r>
      <w:r w:rsidR="00DE2F1D">
        <w:rPr>
          <w:rFonts w:cs="Arial"/>
        </w:rPr>
        <w:t>current</w:t>
      </w:r>
      <w:r w:rsidR="00212E79">
        <w:rPr>
          <w:rFonts w:cs="Arial"/>
        </w:rPr>
        <w:t>ly captured in TS.36.321 and TS36.331. In addition, the fallback to legacy RRCConnectionSetup in Msg4</w:t>
      </w:r>
      <w:r w:rsidR="00824679">
        <w:rPr>
          <w:rFonts w:cs="Arial"/>
        </w:rPr>
        <w:t xml:space="preserve"> in UP-EDT</w:t>
      </w:r>
      <w:r w:rsidR="00212E79">
        <w:rPr>
          <w:rFonts w:cs="Arial"/>
        </w:rPr>
        <w:t xml:space="preserve"> and fallback from Msg3 retransmission are also discussed.</w:t>
      </w:r>
      <w:r w:rsidR="007B049E">
        <w:rPr>
          <w:rFonts w:cs="Arial"/>
        </w:rPr>
        <w:t xml:space="preserve"> </w:t>
      </w:r>
    </w:p>
    <w:p w14:paraId="48F58B77" w14:textId="2741655D" w:rsidR="004000E8" w:rsidRDefault="004000E8" w:rsidP="00CE0424">
      <w:pPr>
        <w:pStyle w:val="Heading1"/>
      </w:pPr>
      <w:bookmarkStart w:id="3" w:name="_Ref178064866"/>
      <w:r w:rsidRPr="00CE0424">
        <w:t>Discussion</w:t>
      </w:r>
      <w:bookmarkEnd w:id="3"/>
    </w:p>
    <w:p w14:paraId="12DA76A8" w14:textId="36E5FCF7" w:rsidR="00877798" w:rsidRDefault="00877798" w:rsidP="003946AE">
      <w:r>
        <w:t>Different cases of fallback in EDT can be illustrated as in Figure 1 below. Note that this is applicable for both UP-EDT and CP-EDT. We discuss the cases of fallback2, fallback3 and fallback4 in this contribution.</w:t>
      </w:r>
    </w:p>
    <w:p w14:paraId="302670C4" w14:textId="77777777" w:rsidR="00877798" w:rsidRDefault="00877798" w:rsidP="003946AE"/>
    <w:p w14:paraId="587C00F9" w14:textId="2B548D2E" w:rsidR="00877798" w:rsidRDefault="00877798" w:rsidP="003946AE">
      <w:pPr>
        <w:jc w:val="center"/>
      </w:pPr>
      <w:r>
        <w:rPr>
          <w:noProof/>
        </w:rPr>
        <w:drawing>
          <wp:inline distT="0" distB="0" distL="0" distR="0" wp14:anchorId="569F1B89" wp14:editId="056AFA73">
            <wp:extent cx="4506685" cy="3587262"/>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12171" cy="3591629"/>
                    </a:xfrm>
                    <a:prstGeom prst="rect">
                      <a:avLst/>
                    </a:prstGeom>
                    <a:noFill/>
                  </pic:spPr>
                </pic:pic>
              </a:graphicData>
            </a:graphic>
          </wp:inline>
        </w:drawing>
      </w:r>
    </w:p>
    <w:p w14:paraId="65B8F6A6" w14:textId="0AAE5922" w:rsidR="00877798" w:rsidRPr="00877798" w:rsidRDefault="00877798" w:rsidP="003946AE">
      <w:pPr>
        <w:jc w:val="center"/>
      </w:pPr>
      <w:r>
        <w:t>Figure 1: Fallback cases in EDT.</w:t>
      </w:r>
    </w:p>
    <w:p w14:paraId="15CAA8BF" w14:textId="2D4BF7CD" w:rsidR="00EE4B40" w:rsidRDefault="00F715EF" w:rsidP="00EE4B40">
      <w:pPr>
        <w:pStyle w:val="Heading2"/>
      </w:pPr>
      <w:r>
        <w:lastRenderedPageBreak/>
        <w:t>Fa</w:t>
      </w:r>
      <w:r w:rsidR="009D524C">
        <w:t>llback</w:t>
      </w:r>
      <w:r w:rsidR="00D07621">
        <w:t xml:space="preserve"> due to legacy UL grant</w:t>
      </w:r>
      <w:r w:rsidR="00CC003F">
        <w:t xml:space="preserve"> (Fallback2)</w:t>
      </w:r>
    </w:p>
    <w:p w14:paraId="7676D3CC" w14:textId="53C10DAD" w:rsidR="00D65F9D" w:rsidRDefault="00D65F9D" w:rsidP="001C1AC4">
      <w:pPr>
        <w:pStyle w:val="BodyText"/>
        <w:rPr>
          <w:rFonts w:cs="Arial"/>
        </w:rPr>
      </w:pPr>
      <w:r>
        <w:rPr>
          <w:rFonts w:cs="Arial"/>
        </w:rPr>
        <w:t xml:space="preserve">It has been agreed in </w:t>
      </w:r>
      <w:r w:rsidR="00A04A86">
        <w:rPr>
          <w:rFonts w:cs="Arial"/>
        </w:rPr>
        <w:t xml:space="preserve">RAN#102 that in case </w:t>
      </w:r>
      <w:r w:rsidR="00EA2939">
        <w:rPr>
          <w:rFonts w:cs="Arial"/>
        </w:rPr>
        <w:t xml:space="preserve">of </w:t>
      </w:r>
      <w:r w:rsidR="005D7915">
        <w:rPr>
          <w:rFonts w:cs="Arial"/>
        </w:rPr>
        <w:t>fallback</w:t>
      </w:r>
      <w:r w:rsidR="00A04A86">
        <w:rPr>
          <w:rFonts w:cs="Arial"/>
        </w:rPr>
        <w:t xml:space="preserve"> after </w:t>
      </w:r>
      <w:r w:rsidR="005D7915">
        <w:rPr>
          <w:rFonts w:cs="Arial"/>
        </w:rPr>
        <w:t>the UE</w:t>
      </w:r>
      <w:r w:rsidR="00780F7F">
        <w:rPr>
          <w:rFonts w:cs="Arial"/>
        </w:rPr>
        <w:t xml:space="preserve"> has received Msg2 </w:t>
      </w:r>
      <w:r w:rsidR="00A04A86">
        <w:rPr>
          <w:rFonts w:cs="Arial"/>
        </w:rPr>
        <w:t xml:space="preserve">in UP-EDT, </w:t>
      </w:r>
      <w:r w:rsidR="005D7915">
        <w:rPr>
          <w:rFonts w:cs="Arial"/>
        </w:rPr>
        <w:t xml:space="preserve">the UE shall continue with </w:t>
      </w:r>
      <w:r w:rsidR="00780F7F">
        <w:rPr>
          <w:rFonts w:cs="Arial"/>
        </w:rPr>
        <w:t xml:space="preserve">the activated security </w:t>
      </w:r>
      <w:r w:rsidR="005D7915">
        <w:rPr>
          <w:rFonts w:cs="Arial"/>
        </w:rPr>
        <w:t>and</w:t>
      </w:r>
      <w:r w:rsidR="00A04A86">
        <w:rPr>
          <w:rFonts w:cs="Arial"/>
        </w:rPr>
        <w:t xml:space="preserve"> ignore the NCC value received in Msg4:</w:t>
      </w:r>
    </w:p>
    <w:p w14:paraId="3E0ECDCD" w14:textId="6713B3F8" w:rsidR="00FA1685" w:rsidRPr="00780F7F" w:rsidRDefault="00C13718" w:rsidP="003946AE">
      <w:pPr>
        <w:pStyle w:val="BodyText"/>
        <w:numPr>
          <w:ilvl w:val="0"/>
          <w:numId w:val="31"/>
        </w:numPr>
        <w:rPr>
          <w:rFonts w:cs="Arial"/>
          <w:lang w:val="en-US"/>
        </w:rPr>
      </w:pPr>
      <w:r w:rsidRPr="00780F7F">
        <w:rPr>
          <w:rFonts w:cs="Arial"/>
        </w:rPr>
        <w:t>The UE shall continue using the activated AS security and ignore NCC in Msg4 in case of fall back before receiving Msg4, i.e. due to legacy grant received in Msg2, legacy RRC connection resume procedure.</w:t>
      </w:r>
    </w:p>
    <w:p w14:paraId="58AB6219" w14:textId="3F344F28" w:rsidR="00A04A86" w:rsidRPr="00E82BEE" w:rsidRDefault="00A04A86" w:rsidP="00E82BEE">
      <w:pPr>
        <w:pStyle w:val="BodyText"/>
        <w:rPr>
          <w:rFonts w:cs="Arial"/>
        </w:rPr>
      </w:pPr>
      <w:r w:rsidRPr="00E82BEE">
        <w:rPr>
          <w:rFonts w:cs="Arial"/>
        </w:rPr>
        <w:t xml:space="preserve">This </w:t>
      </w:r>
      <w:r w:rsidR="00E82BEE" w:rsidRPr="00E82BEE">
        <w:rPr>
          <w:rFonts w:cs="Arial"/>
        </w:rPr>
        <w:t>means that the only difference</w:t>
      </w:r>
      <w:r w:rsidR="00F4271B">
        <w:rPr>
          <w:rFonts w:cs="Arial"/>
        </w:rPr>
        <w:t xml:space="preserve"> in UE behaviour </w:t>
      </w:r>
      <w:r w:rsidR="00E82BEE" w:rsidRPr="00E82BEE">
        <w:rPr>
          <w:rFonts w:cs="Arial"/>
        </w:rPr>
        <w:t xml:space="preserve">compared to the successful EDT case is that the UE does not multiplex UL user data (DRB SDU) in Msg3 PDU. </w:t>
      </w:r>
      <w:r w:rsidR="00B70E85">
        <w:rPr>
          <w:rFonts w:cs="Arial"/>
        </w:rPr>
        <w:t>Thus, this can be</w:t>
      </w:r>
      <w:r w:rsidR="00E82BEE">
        <w:rPr>
          <w:rFonts w:cs="Arial"/>
        </w:rPr>
        <w:t xml:space="preserve"> handled at MAC sub-layer wit</w:t>
      </w:r>
      <w:r w:rsidR="00B70E85">
        <w:rPr>
          <w:rFonts w:cs="Arial"/>
        </w:rPr>
        <w:t>hout the need for</w:t>
      </w:r>
      <w:r w:rsidR="00E82BEE">
        <w:rPr>
          <w:rFonts w:cs="Arial"/>
        </w:rPr>
        <w:t xml:space="preserve"> RRC involvement</w:t>
      </w:r>
      <w:r w:rsidR="005E0690">
        <w:rPr>
          <w:rFonts w:cs="Arial"/>
        </w:rPr>
        <w:t>. However, interaction between MAC and RRC sub-layers</w:t>
      </w:r>
      <w:r w:rsidR="0001413B">
        <w:rPr>
          <w:rFonts w:cs="Arial"/>
        </w:rPr>
        <w:t xml:space="preserve"> is currently captured</w:t>
      </w:r>
      <w:r w:rsidR="005E0690">
        <w:rPr>
          <w:rFonts w:cs="Arial"/>
        </w:rPr>
        <w:t>, i.e., the MAC indicates th</w:t>
      </w:r>
      <w:r w:rsidR="00800B21">
        <w:rPr>
          <w:rFonts w:cs="Arial"/>
        </w:rPr>
        <w:t>e</w:t>
      </w:r>
      <w:r w:rsidR="005E0690">
        <w:rPr>
          <w:rFonts w:cs="Arial"/>
        </w:rPr>
        <w:t xml:space="preserve"> type of fallback to upper layers </w:t>
      </w:r>
      <w:r w:rsidR="00B70E85">
        <w:rPr>
          <w:rFonts w:cs="Arial"/>
        </w:rPr>
        <w:t xml:space="preserve">even </w:t>
      </w:r>
      <w:r w:rsidR="00800B21">
        <w:rPr>
          <w:rFonts w:cs="Arial"/>
        </w:rPr>
        <w:t>though</w:t>
      </w:r>
      <w:r w:rsidR="00690ED5">
        <w:rPr>
          <w:rFonts w:cs="Arial"/>
        </w:rPr>
        <w:t xml:space="preserve"> </w:t>
      </w:r>
      <w:r w:rsidR="005E0690">
        <w:rPr>
          <w:rFonts w:cs="Arial"/>
        </w:rPr>
        <w:t>the</w:t>
      </w:r>
      <w:r w:rsidR="00690ED5">
        <w:rPr>
          <w:rFonts w:cs="Arial"/>
        </w:rPr>
        <w:t>re is no corresponding action</w:t>
      </w:r>
      <w:r w:rsidR="005E0690">
        <w:rPr>
          <w:rFonts w:cs="Arial"/>
        </w:rPr>
        <w:t xml:space="preserve"> </w:t>
      </w:r>
      <w:r w:rsidR="00690ED5">
        <w:rPr>
          <w:rFonts w:cs="Arial"/>
        </w:rPr>
        <w:t xml:space="preserve">in the </w:t>
      </w:r>
      <w:r w:rsidR="005E0690">
        <w:rPr>
          <w:rFonts w:cs="Arial"/>
        </w:rPr>
        <w:t>RRC sub-layer</w:t>
      </w:r>
      <w:r w:rsidR="00B70E85">
        <w:rPr>
          <w:rFonts w:cs="Arial"/>
        </w:rPr>
        <w:t xml:space="preserve"> once </w:t>
      </w:r>
      <w:r w:rsidR="00690ED5">
        <w:rPr>
          <w:rFonts w:cs="Arial"/>
        </w:rPr>
        <w:t xml:space="preserve">the indication is </w:t>
      </w:r>
      <w:r w:rsidR="00B70E85">
        <w:rPr>
          <w:rFonts w:cs="Arial"/>
        </w:rPr>
        <w:t>receiv</w:t>
      </w:r>
      <w:r w:rsidR="00690ED5">
        <w:rPr>
          <w:rFonts w:cs="Arial"/>
        </w:rPr>
        <w:t>ed</w:t>
      </w:r>
      <w:r w:rsidR="005E0690">
        <w:rPr>
          <w:rFonts w:cs="Arial"/>
        </w:rPr>
        <w:t>.</w:t>
      </w:r>
    </w:p>
    <w:p w14:paraId="63624344" w14:textId="6E4E5753" w:rsidR="00C737C2" w:rsidRDefault="005E0690" w:rsidP="00C737C2">
      <w:pPr>
        <w:pStyle w:val="Reference"/>
        <w:numPr>
          <w:ilvl w:val="0"/>
          <w:numId w:val="0"/>
        </w:numPr>
        <w:ind w:left="567" w:hanging="567"/>
        <w:rPr>
          <w:noProof/>
        </w:rPr>
      </w:pPr>
      <w:r>
        <w:rPr>
          <w:noProof/>
        </w:rPr>
        <w:t xml:space="preserve">From </w:t>
      </w:r>
      <w:r w:rsidR="000B06BE">
        <w:rPr>
          <w:noProof/>
        </w:rPr>
        <w:t>TS</w:t>
      </w:r>
      <w:r>
        <w:rPr>
          <w:noProof/>
        </w:rPr>
        <w:t>36.321</w:t>
      </w:r>
      <w:r w:rsidR="00824679">
        <w:rPr>
          <w:noProof/>
        </w:rPr>
        <w:t xml:space="preserve"> </w:t>
      </w:r>
      <w:r w:rsidR="00824679">
        <w:rPr>
          <w:noProof/>
        </w:rPr>
        <w:fldChar w:fldCharType="begin"/>
      </w:r>
      <w:r w:rsidR="00824679">
        <w:rPr>
          <w:noProof/>
        </w:rPr>
        <w:instrText xml:space="preserve"> REF _Ref525833245 \r \h </w:instrText>
      </w:r>
      <w:r w:rsidR="00824679">
        <w:rPr>
          <w:noProof/>
        </w:rPr>
      </w:r>
      <w:r w:rsidR="00824679">
        <w:rPr>
          <w:noProof/>
        </w:rPr>
        <w:fldChar w:fldCharType="separate"/>
      </w:r>
      <w:r w:rsidR="00824679">
        <w:rPr>
          <w:noProof/>
        </w:rPr>
        <w:t>[2]</w:t>
      </w:r>
      <w:r w:rsidR="00824679">
        <w:rPr>
          <w:noProof/>
        </w:rPr>
        <w:fldChar w:fldCharType="end"/>
      </w:r>
      <w:r>
        <w:rPr>
          <w:noProof/>
        </w:rPr>
        <w:t>, section 5.1.4:</w:t>
      </w:r>
    </w:p>
    <w:p w14:paraId="23A99C31" w14:textId="6B46BF31" w:rsidR="00C46555" w:rsidRPr="00B70E85" w:rsidRDefault="004A2675" w:rsidP="004A2675">
      <w:pPr>
        <w:pStyle w:val="B5"/>
        <w:ind w:left="644"/>
        <w:rPr>
          <w:noProof/>
        </w:rPr>
      </w:pPr>
      <w:r w:rsidRPr="004A2675">
        <w:rPr>
          <w:noProof/>
        </w:rPr>
        <w:t>-</w:t>
      </w:r>
      <w:r w:rsidRPr="004A2675">
        <w:rPr>
          <w:noProof/>
        </w:rPr>
        <w:tab/>
      </w:r>
      <w:r w:rsidR="00C46555" w:rsidRPr="00384EF4">
        <w:rPr>
          <w:noProof/>
          <w:highlight w:val="yellow"/>
        </w:rPr>
        <w:t xml:space="preserve">if </w:t>
      </w:r>
      <w:r w:rsidR="00C46555" w:rsidRPr="00384EF4">
        <w:rPr>
          <w:rFonts w:hint="eastAsia"/>
          <w:noProof/>
          <w:highlight w:val="yellow"/>
        </w:rPr>
        <w:t>t</w:t>
      </w:r>
      <w:r w:rsidR="00C46555" w:rsidRPr="00384EF4">
        <w:rPr>
          <w:noProof/>
          <w:highlight w:val="yellow"/>
        </w:rPr>
        <w:t>he Random Access Preamble associated with EDT was transmitted and UL grant provided in the Random Access Response message is not for EDT:</w:t>
      </w:r>
    </w:p>
    <w:p w14:paraId="3CD9B81A" w14:textId="77777777" w:rsidR="00C46555" w:rsidRPr="00B70E85" w:rsidRDefault="00C46555" w:rsidP="004A2675">
      <w:pPr>
        <w:pStyle w:val="B6"/>
        <w:ind w:left="567" w:firstLine="0"/>
        <w:rPr>
          <w:rFonts w:ascii="Arial" w:hAnsi="Arial" w:cs="Arial"/>
          <w:noProof/>
        </w:rPr>
      </w:pPr>
      <w:r w:rsidRPr="00B70E85">
        <w:rPr>
          <w:rFonts w:ascii="Arial" w:hAnsi="Arial" w:cs="Arial"/>
          <w:noProof/>
        </w:rPr>
        <w:t>-</w:t>
      </w:r>
      <w:r w:rsidRPr="00B70E85">
        <w:rPr>
          <w:rFonts w:ascii="Arial" w:hAnsi="Arial" w:cs="Arial"/>
          <w:noProof/>
        </w:rPr>
        <w:tab/>
        <w:t xml:space="preserve">indicate to upper layers that EDT is </w:t>
      </w:r>
      <w:r w:rsidRPr="00B70E85">
        <w:rPr>
          <w:rFonts w:ascii="Arial" w:hAnsi="Arial" w:cs="Arial"/>
          <w:noProof/>
          <w:lang w:eastAsia="ko-KR"/>
        </w:rPr>
        <w:t>cancelled due to UL grant not being for EDT</w:t>
      </w:r>
      <w:r w:rsidRPr="00B70E85">
        <w:rPr>
          <w:rFonts w:ascii="Arial" w:hAnsi="Arial" w:cs="Arial"/>
          <w:noProof/>
        </w:rPr>
        <w:t>;</w:t>
      </w:r>
    </w:p>
    <w:p w14:paraId="1FFC04BB" w14:textId="77777777" w:rsidR="004A2675" w:rsidRPr="00B70E85" w:rsidRDefault="00C46555" w:rsidP="004A2675">
      <w:pPr>
        <w:pStyle w:val="B6"/>
        <w:ind w:left="567" w:firstLine="0"/>
        <w:rPr>
          <w:rFonts w:ascii="Arial" w:hAnsi="Arial" w:cs="Arial"/>
          <w:noProof/>
          <w:lang w:eastAsia="ko-KR"/>
        </w:rPr>
      </w:pPr>
      <w:r w:rsidRPr="00B70E85">
        <w:rPr>
          <w:rFonts w:ascii="Arial" w:hAnsi="Arial" w:cs="Arial"/>
          <w:noProof/>
        </w:rPr>
        <w:t>-</w:t>
      </w:r>
      <w:r w:rsidRPr="00B70E85">
        <w:rPr>
          <w:rFonts w:ascii="Arial" w:hAnsi="Arial" w:cs="Arial"/>
          <w:noProof/>
        </w:rPr>
        <w:tab/>
        <w:t>flush the Msg3 buffer</w:t>
      </w:r>
      <w:r w:rsidRPr="00B70E85">
        <w:rPr>
          <w:rFonts w:ascii="Arial" w:hAnsi="Arial" w:cs="Arial"/>
          <w:noProof/>
          <w:lang w:eastAsia="ko-KR"/>
        </w:rPr>
        <w:t>.</w:t>
      </w:r>
    </w:p>
    <w:p w14:paraId="224E2FBC" w14:textId="77777777" w:rsidR="004A2675" w:rsidRPr="00B70E85" w:rsidRDefault="004A2675" w:rsidP="004A2675">
      <w:pPr>
        <w:pStyle w:val="B5"/>
        <w:ind w:left="644"/>
        <w:rPr>
          <w:noProof/>
        </w:rPr>
      </w:pPr>
      <w:r w:rsidRPr="00B70E85">
        <w:rPr>
          <w:noProof/>
        </w:rPr>
        <w:t>-</w:t>
      </w:r>
      <w:r w:rsidRPr="00B70E85">
        <w:rPr>
          <w:noProof/>
        </w:rPr>
        <w:tab/>
        <w:t>if this is the first successfully received Random Access Response within this Random Access procedure; or</w:t>
      </w:r>
    </w:p>
    <w:p w14:paraId="2C8A02CF" w14:textId="77777777" w:rsidR="004A2675" w:rsidRPr="00914E3D" w:rsidRDefault="004A2675" w:rsidP="004A2675">
      <w:pPr>
        <w:pStyle w:val="B5"/>
        <w:ind w:left="644"/>
        <w:rPr>
          <w:noProof/>
        </w:rPr>
      </w:pPr>
      <w:r w:rsidRPr="00B70E85">
        <w:rPr>
          <w:noProof/>
        </w:rPr>
        <w:t>-</w:t>
      </w:r>
      <w:r w:rsidRPr="00B70E85">
        <w:rPr>
          <w:noProof/>
        </w:rPr>
        <w:tab/>
      </w:r>
      <w:r w:rsidRPr="00384EF4">
        <w:rPr>
          <w:noProof/>
          <w:highlight w:val="yellow"/>
        </w:rPr>
        <w:t xml:space="preserve">if EDT </w:t>
      </w:r>
      <w:r w:rsidRPr="00384EF4">
        <w:rPr>
          <w:rFonts w:hint="eastAsia"/>
          <w:noProof/>
          <w:highlight w:val="yellow"/>
          <w:lang w:eastAsia="ko-KR"/>
        </w:rPr>
        <w:t>is cancelled</w:t>
      </w:r>
      <w:r w:rsidRPr="00384EF4">
        <w:rPr>
          <w:noProof/>
          <w:highlight w:val="yellow"/>
        </w:rPr>
        <w:t xml:space="preserve"> due to the UL grant provided in the Random Access Response message not being for EDT:</w:t>
      </w:r>
    </w:p>
    <w:p w14:paraId="459A8BED" w14:textId="77777777" w:rsidR="004A2675" w:rsidRPr="004A2675" w:rsidRDefault="004A2675" w:rsidP="004A2675">
      <w:pPr>
        <w:pStyle w:val="B6"/>
        <w:ind w:left="1134" w:hanging="567"/>
        <w:rPr>
          <w:rFonts w:ascii="Arial" w:hAnsi="Arial" w:cs="Arial"/>
          <w:noProof/>
        </w:rPr>
      </w:pPr>
      <w:r w:rsidRPr="004A2675">
        <w:rPr>
          <w:rFonts w:ascii="Arial" w:hAnsi="Arial" w:cs="Arial"/>
          <w:noProof/>
        </w:rPr>
        <w:t>-</w:t>
      </w:r>
      <w:r w:rsidRPr="004A2675">
        <w:rPr>
          <w:rFonts w:ascii="Arial" w:hAnsi="Arial" w:cs="Arial"/>
          <w:noProof/>
        </w:rPr>
        <w:tab/>
        <w:t>if the transmission is not being made for the CCCH logical channel, indicate to the Multiplexing and assembly entity to include a C-RNTI MAC control element in the subsequent uplink transmission;</w:t>
      </w:r>
    </w:p>
    <w:p w14:paraId="07788F0C" w14:textId="677EF558" w:rsidR="00C46555" w:rsidRPr="000B3F12" w:rsidRDefault="004A2675" w:rsidP="006C6675">
      <w:pPr>
        <w:pStyle w:val="B6"/>
        <w:ind w:left="1134" w:hanging="567"/>
        <w:rPr>
          <w:rFonts w:ascii="Arial" w:hAnsi="Arial" w:cs="Arial"/>
          <w:noProof/>
          <w:highlight w:val="yellow"/>
          <w:lang w:eastAsia="ko-KR"/>
        </w:rPr>
      </w:pPr>
      <w:r w:rsidRPr="004A2675">
        <w:rPr>
          <w:rFonts w:ascii="Arial" w:hAnsi="Arial" w:cs="Arial"/>
          <w:noProof/>
        </w:rPr>
        <w:t>-</w:t>
      </w:r>
      <w:r w:rsidRPr="004A2675">
        <w:rPr>
          <w:rFonts w:ascii="Arial" w:hAnsi="Arial" w:cs="Arial"/>
          <w:noProof/>
        </w:rPr>
        <w:tab/>
        <w:t>obtain the MAC PDU to transmit from the "Multiplexing and assembly" entity and store it in the Msg3 buffer.</w:t>
      </w:r>
    </w:p>
    <w:p w14:paraId="63FAB1FD" w14:textId="7C0C2038" w:rsidR="005E0690" w:rsidRPr="005E0690" w:rsidRDefault="005E0690" w:rsidP="005E0690">
      <w:pPr>
        <w:pStyle w:val="Reference"/>
        <w:numPr>
          <w:ilvl w:val="0"/>
          <w:numId w:val="0"/>
        </w:numPr>
        <w:ind w:left="567" w:hanging="567"/>
        <w:rPr>
          <w:noProof/>
        </w:rPr>
      </w:pPr>
      <w:r>
        <w:rPr>
          <w:noProof/>
        </w:rPr>
        <w:t>And from CR for 36.331</w:t>
      </w:r>
      <w:r w:rsidR="000B06BE">
        <w:rPr>
          <w:noProof/>
        </w:rPr>
        <w:t xml:space="preserve"> </w:t>
      </w:r>
      <w:r w:rsidR="000B06BE">
        <w:rPr>
          <w:noProof/>
        </w:rPr>
        <w:fldChar w:fldCharType="begin"/>
      </w:r>
      <w:r w:rsidR="000B06BE">
        <w:rPr>
          <w:noProof/>
        </w:rPr>
        <w:instrText xml:space="preserve"> REF _Ref525124446 \r \h </w:instrText>
      </w:r>
      <w:r w:rsidR="000B06BE">
        <w:rPr>
          <w:noProof/>
        </w:rPr>
      </w:r>
      <w:r w:rsidR="000B06BE">
        <w:rPr>
          <w:noProof/>
        </w:rPr>
        <w:fldChar w:fldCharType="separate"/>
      </w:r>
      <w:r w:rsidR="00FC7A32">
        <w:rPr>
          <w:noProof/>
        </w:rPr>
        <w:t>[1]</w:t>
      </w:r>
      <w:r w:rsidR="000B06BE">
        <w:rPr>
          <w:noProof/>
        </w:rPr>
        <w:fldChar w:fldCharType="end"/>
      </w:r>
      <w:r>
        <w:rPr>
          <w:noProof/>
        </w:rPr>
        <w:t>, section 5.3.3.3c:</w:t>
      </w:r>
    </w:p>
    <w:p w14:paraId="5286CBF2" w14:textId="77777777" w:rsidR="00D87F80" w:rsidRDefault="00D87F80" w:rsidP="00D87F80">
      <w:pPr>
        <w:pStyle w:val="B1"/>
      </w:pPr>
      <w:r w:rsidRPr="00CC7909">
        <w:t>1&gt;</w:t>
      </w:r>
      <w:r w:rsidRPr="00CC7909">
        <w:tab/>
        <w:t>else</w:t>
      </w:r>
      <w:r>
        <w:t xml:space="preserve"> if the fallback is indicated by lower layers in response to the </w:t>
      </w:r>
      <w:r>
        <w:rPr>
          <w:i/>
        </w:rPr>
        <w:t>RRCConnectionResumeRequest</w:t>
      </w:r>
      <w:r>
        <w:t xml:space="preserve"> for EDT and the fallback is not due to the UL grant provided in Random Access </w:t>
      </w:r>
      <w:r w:rsidRPr="00460673">
        <w:t>Response not being for</w:t>
      </w:r>
      <w:r>
        <w:t xml:space="preserve"> EDT</w:t>
      </w:r>
      <w:r w:rsidRPr="00CC7909">
        <w:t>:</w:t>
      </w:r>
    </w:p>
    <w:p w14:paraId="184AEAEB" w14:textId="77777777" w:rsidR="00D87F80" w:rsidRDefault="00D87F80" w:rsidP="00D87F80">
      <w:pPr>
        <w:pStyle w:val="B2"/>
      </w:pPr>
      <w:r>
        <w:t xml:space="preserve">2&gt; </w:t>
      </w:r>
      <w:r w:rsidRPr="00F03335">
        <w:t>perform the actions upon abor</w:t>
      </w:r>
      <w:r>
        <w:t>tion of UP-</w:t>
      </w:r>
      <w:r w:rsidRPr="00F03335">
        <w:t>EDT as specified in 5.3.3.</w:t>
      </w:r>
      <w:r>
        <w:t>9a;</w:t>
      </w:r>
    </w:p>
    <w:p w14:paraId="0D22F159" w14:textId="77777777" w:rsidR="00D87F80" w:rsidRPr="00CC7909" w:rsidRDefault="00D87F80" w:rsidP="00D87F80">
      <w:pPr>
        <w:pStyle w:val="B2"/>
      </w:pPr>
      <w:r w:rsidRPr="00CC7909">
        <w:t>2&gt;</w:t>
      </w:r>
      <w:r w:rsidRPr="00CC7909">
        <w:tab/>
        <w:t xml:space="preserve">initiate transmission of the </w:t>
      </w:r>
      <w:r w:rsidRPr="00CC7909">
        <w:rPr>
          <w:i/>
        </w:rPr>
        <w:t>RRCConnectionResumeRequest</w:t>
      </w:r>
      <w:r w:rsidRPr="00CC7909">
        <w:t xml:space="preserve"> message in accordance with 5.3.3.3a;</w:t>
      </w:r>
    </w:p>
    <w:p w14:paraId="684D8418" w14:textId="5E88EDE8" w:rsidR="00C46555" w:rsidRDefault="004A51FE" w:rsidP="00752B7D">
      <w:pPr>
        <w:pStyle w:val="BodyText"/>
      </w:pPr>
      <w:r>
        <w:rPr>
          <w:rFonts w:cs="Arial"/>
        </w:rPr>
        <w:t>We also note that the start or restart of timer T300</w:t>
      </w:r>
      <w:r>
        <w:t xml:space="preserve"> upon receiving the EDT fallback indication from lower layers was agreed for the case of fallback before Msg1, as agreed in RAN2#102 below. But in currently, this applies to all the fallback cases, which is not correct.</w:t>
      </w:r>
    </w:p>
    <w:p w14:paraId="24F32941" w14:textId="77777777" w:rsidR="004A51FE" w:rsidRDefault="004A51FE" w:rsidP="003946AE">
      <w:pPr>
        <w:pStyle w:val="Agreement"/>
        <w:numPr>
          <w:ilvl w:val="0"/>
          <w:numId w:val="28"/>
        </w:numPr>
        <w:rPr>
          <w:b w:val="0"/>
        </w:rPr>
      </w:pPr>
      <w:r w:rsidRPr="003946AE">
        <w:rPr>
          <w:b w:val="0"/>
        </w:rPr>
        <w:t>Before preamble selection, if Msg3 is not expected to fit in maximum TBS for the selected CE level or there is no (N)PRACH resources for EDT for the selected CE level, MAC layer shall indicate to RRC layer that EDT cannot be used.</w:t>
      </w:r>
    </w:p>
    <w:p w14:paraId="72882240" w14:textId="77777777" w:rsidR="004A51FE" w:rsidRDefault="004A51FE" w:rsidP="003946AE">
      <w:pPr>
        <w:pStyle w:val="Agreement"/>
        <w:numPr>
          <w:ilvl w:val="0"/>
          <w:numId w:val="28"/>
        </w:numPr>
        <w:rPr>
          <w:b w:val="0"/>
        </w:rPr>
      </w:pPr>
      <w:r w:rsidRPr="003946AE">
        <w:rPr>
          <w:b w:val="0"/>
        </w:rPr>
        <w:t>If there is no (N)PRACH resources available for EDT for the selected CE level, MAC layer shall indicate to RRC layer that EDT cannot be used regardless of whether there are (N)PRACH resources available for EDT for other CE levels.</w:t>
      </w:r>
    </w:p>
    <w:p w14:paraId="0AF9251F" w14:textId="6B96E323" w:rsidR="004A51FE" w:rsidRPr="003946AE" w:rsidRDefault="004A51FE" w:rsidP="003946AE">
      <w:pPr>
        <w:pStyle w:val="Agreement"/>
        <w:numPr>
          <w:ilvl w:val="0"/>
          <w:numId w:val="28"/>
        </w:numPr>
        <w:rPr>
          <w:b w:val="0"/>
        </w:rPr>
      </w:pPr>
      <w:r w:rsidRPr="003946AE">
        <w:rPr>
          <w:b w:val="0"/>
        </w:rPr>
        <w:t>The UE behaviour in the RRC layer due to receiving the indication from the MAC layer that EDT cannot be used is captured in 36.331, i.e. that the UE continues with the legacy RRC message.</w:t>
      </w:r>
    </w:p>
    <w:p w14:paraId="1311C791" w14:textId="0AAF9AED" w:rsidR="004A51FE" w:rsidRDefault="004A51FE" w:rsidP="003946AE">
      <w:pPr>
        <w:pStyle w:val="Agreement"/>
        <w:numPr>
          <w:ilvl w:val="0"/>
          <w:numId w:val="28"/>
        </w:numPr>
        <w:rPr>
          <w:b w:val="0"/>
        </w:rPr>
      </w:pPr>
      <w:r w:rsidRPr="003946AE">
        <w:rPr>
          <w:b w:val="0"/>
        </w:rPr>
        <w:t>T300 is restarted with the legacy value.</w:t>
      </w:r>
    </w:p>
    <w:p w14:paraId="629DC3E9" w14:textId="77777777" w:rsidR="004A51FE" w:rsidRDefault="004A51FE" w:rsidP="003946AE">
      <w:pPr>
        <w:pStyle w:val="BodyText"/>
        <w:rPr>
          <w:rFonts w:cs="Arial"/>
        </w:rPr>
      </w:pPr>
    </w:p>
    <w:p w14:paraId="45E3AF65" w14:textId="32D0D4F7" w:rsidR="00DD5C7C" w:rsidRDefault="004A51FE" w:rsidP="00DD5C7C">
      <w:pPr>
        <w:pStyle w:val="BodyText"/>
        <w:rPr>
          <w:rFonts w:cs="Arial"/>
        </w:rPr>
      </w:pPr>
      <w:r w:rsidRPr="004A51FE">
        <w:rPr>
          <w:rFonts w:cs="Arial"/>
        </w:rPr>
        <w:t xml:space="preserve">Therefore, we think </w:t>
      </w:r>
      <w:r w:rsidR="00B15A4E">
        <w:rPr>
          <w:rFonts w:cs="Arial"/>
        </w:rPr>
        <w:t xml:space="preserve">in UP-EDT </w:t>
      </w:r>
      <w:r w:rsidRPr="003946AE">
        <w:rPr>
          <w:rFonts w:cs="Arial"/>
        </w:rPr>
        <w:t>t</w:t>
      </w:r>
      <w:r w:rsidRPr="004A51FE">
        <w:rPr>
          <w:rFonts w:cs="Arial"/>
        </w:rPr>
        <w:t>here is no need for MAC to indicate this type of fallback to upper layer and for the RRC to unnecessarily distinguish two fallback cases</w:t>
      </w:r>
      <w:r w:rsidR="00DD5C7C">
        <w:rPr>
          <w:rFonts w:cs="Arial"/>
        </w:rPr>
        <w:t xml:space="preserve"> as well as (re)start T300 timer in case of fallback due to legacy grant.</w:t>
      </w:r>
      <w:r w:rsidR="00DD5C7C" w:rsidRPr="00DD5C7C">
        <w:t xml:space="preserve"> </w:t>
      </w:r>
      <w:r w:rsidR="00DD5C7C">
        <w:t>Respective changes for RRC CR are proposed in</w:t>
      </w:r>
      <w:r w:rsidR="00824679">
        <w:t xml:space="preserve"> </w:t>
      </w:r>
      <w:r w:rsidR="00824679">
        <w:fldChar w:fldCharType="begin"/>
      </w:r>
      <w:r w:rsidR="00824679">
        <w:instrText xml:space="preserve"> REF _Ref525833288 \r \h </w:instrText>
      </w:r>
      <w:r w:rsidR="00824679">
        <w:fldChar w:fldCharType="separate"/>
      </w:r>
      <w:r w:rsidR="00824679">
        <w:t>[4]</w:t>
      </w:r>
      <w:r w:rsidR="00824679">
        <w:fldChar w:fldCharType="end"/>
      </w:r>
      <w:r w:rsidR="00DD5C7C">
        <w:t>.</w:t>
      </w:r>
    </w:p>
    <w:p w14:paraId="45A2A0A1" w14:textId="77777777" w:rsidR="004A51FE" w:rsidRDefault="004A51FE" w:rsidP="00752B7D">
      <w:pPr>
        <w:pStyle w:val="BodyText"/>
        <w:rPr>
          <w:rFonts w:cs="Arial"/>
        </w:rPr>
      </w:pPr>
    </w:p>
    <w:p w14:paraId="0839D5B2" w14:textId="6EA316D0" w:rsidR="00791A32" w:rsidRPr="00791A32" w:rsidRDefault="00791A32" w:rsidP="002471CA">
      <w:pPr>
        <w:pStyle w:val="Observation"/>
        <w:ind w:left="1701" w:hanging="1701"/>
        <w:rPr>
          <w:rFonts w:cs="Arial"/>
        </w:rPr>
      </w:pPr>
      <w:bookmarkStart w:id="4" w:name="_Toc525833421"/>
      <w:r>
        <w:t>Fallback due to legacy grant received in Msg2 in UP-EDT</w:t>
      </w:r>
      <w:r w:rsidR="004312AD">
        <w:t xml:space="preserve"> </w:t>
      </w:r>
      <w:r w:rsidR="00B843C3">
        <w:t>does not need RRC involvement</w:t>
      </w:r>
      <w:r w:rsidR="006B0508">
        <w:t xml:space="preserve"> including (re)starting of T300 timer</w:t>
      </w:r>
      <w:r w:rsidRPr="00791A32">
        <w:rPr>
          <w:lang w:val="en-US" w:eastAsia="en-US"/>
        </w:rPr>
        <w:t>.</w:t>
      </w:r>
      <w:bookmarkEnd w:id="4"/>
    </w:p>
    <w:p w14:paraId="0C19B827" w14:textId="094D6412" w:rsidR="00322D0F" w:rsidRPr="00CE0424" w:rsidRDefault="00C25EEA" w:rsidP="00322D0F">
      <w:pPr>
        <w:pStyle w:val="Proposal"/>
        <w:tabs>
          <w:tab w:val="clear" w:pos="1304"/>
        </w:tabs>
        <w:ind w:left="1701" w:hanging="1701"/>
      </w:pPr>
      <w:bookmarkStart w:id="5" w:name="_Toc525833424"/>
      <w:r>
        <w:t xml:space="preserve">MAC sub-layer does not indicate upper layers </w:t>
      </w:r>
      <w:r w:rsidR="009B3A07">
        <w:t xml:space="preserve">the fallback </w:t>
      </w:r>
      <w:r w:rsidR="00907BDA">
        <w:t>due to legacy grant received in Msg2 in UP-EDT</w:t>
      </w:r>
      <w:r w:rsidR="00B70E85">
        <w:t xml:space="preserve"> and RRC sub-layer does not need to distinguish </w:t>
      </w:r>
      <w:r w:rsidR="00B70E85">
        <w:rPr>
          <w:rFonts w:cs="Arial"/>
        </w:rPr>
        <w:t xml:space="preserve">two </w:t>
      </w:r>
      <w:r w:rsidR="00B70E85" w:rsidRPr="00752B7D">
        <w:rPr>
          <w:rFonts w:cs="Arial"/>
        </w:rPr>
        <w:t xml:space="preserve">fallback </w:t>
      </w:r>
      <w:r w:rsidR="00B70E85">
        <w:rPr>
          <w:rFonts w:cs="Arial"/>
        </w:rPr>
        <w:t xml:space="preserve">cases </w:t>
      </w:r>
      <w:r w:rsidR="00B70E85" w:rsidRPr="00752B7D">
        <w:rPr>
          <w:rFonts w:cs="Arial"/>
        </w:rPr>
        <w:t>in UP-EDT</w:t>
      </w:r>
      <w:r w:rsidR="001317D0">
        <w:t>.</w:t>
      </w:r>
      <w:bookmarkEnd w:id="5"/>
    </w:p>
    <w:p w14:paraId="4642AA37" w14:textId="1D8CD37B" w:rsidR="00752B7D" w:rsidRPr="003946AE" w:rsidRDefault="00384EF4" w:rsidP="00752B7D">
      <w:pPr>
        <w:pStyle w:val="BodyText"/>
        <w:rPr>
          <w:rFonts w:cs="Arial"/>
          <w:i/>
        </w:rPr>
      </w:pPr>
      <w:r>
        <w:rPr>
          <w:rFonts w:cs="Arial"/>
        </w:rPr>
        <w:t>T</w:t>
      </w:r>
      <w:r w:rsidR="000B3F12">
        <w:rPr>
          <w:rFonts w:cs="Arial"/>
        </w:rPr>
        <w:t xml:space="preserve">he UE behaviour at </w:t>
      </w:r>
      <w:r w:rsidR="00752B7D">
        <w:rPr>
          <w:rFonts w:cs="Arial"/>
        </w:rPr>
        <w:t xml:space="preserve">the MAC sub-layer </w:t>
      </w:r>
      <w:r w:rsidR="008E40E5">
        <w:rPr>
          <w:rFonts w:cs="Arial"/>
        </w:rPr>
        <w:t>is not properly captured</w:t>
      </w:r>
      <w:r w:rsidR="000B3F12">
        <w:rPr>
          <w:rFonts w:cs="Arial"/>
        </w:rPr>
        <w:t>. In legacy, the MAC only flushes Msg3 buffer either at the initialization of a random access procedure or upon MAC reset.</w:t>
      </w:r>
      <w:r w:rsidR="00671CAC">
        <w:rPr>
          <w:rFonts w:cs="Arial"/>
        </w:rPr>
        <w:t xml:space="preserve"> In EDT, w</w:t>
      </w:r>
      <w:r w:rsidR="00B87D4E">
        <w:rPr>
          <w:rFonts w:cs="Arial"/>
        </w:rPr>
        <w:t>hen</w:t>
      </w:r>
      <w:r w:rsidR="00752B7D">
        <w:rPr>
          <w:rFonts w:cs="Arial"/>
        </w:rPr>
        <w:t xml:space="preserve"> th</w:t>
      </w:r>
      <w:r w:rsidR="00B87D4E">
        <w:rPr>
          <w:rFonts w:cs="Arial"/>
        </w:rPr>
        <w:t>e</w:t>
      </w:r>
      <w:r w:rsidR="00752B7D">
        <w:rPr>
          <w:rFonts w:cs="Arial"/>
        </w:rPr>
        <w:t xml:space="preserve"> fallback occurs</w:t>
      </w:r>
      <w:r w:rsidR="00B87D4E">
        <w:rPr>
          <w:rFonts w:cs="Arial"/>
        </w:rPr>
        <w:t>,</w:t>
      </w:r>
      <w:r w:rsidR="00752B7D">
        <w:rPr>
          <w:rFonts w:cs="Arial"/>
        </w:rPr>
        <w:t xml:space="preserve"> </w:t>
      </w:r>
      <w:r w:rsidR="00671CAC">
        <w:rPr>
          <w:rFonts w:cs="Arial"/>
        </w:rPr>
        <w:t xml:space="preserve">if the </w:t>
      </w:r>
      <w:r w:rsidR="004A2AD4">
        <w:rPr>
          <w:rFonts w:cs="Arial"/>
        </w:rPr>
        <w:t>UE flush</w:t>
      </w:r>
      <w:r w:rsidR="001A186F">
        <w:rPr>
          <w:rFonts w:cs="Arial"/>
        </w:rPr>
        <w:t>es</w:t>
      </w:r>
      <w:r w:rsidR="004A2AD4">
        <w:rPr>
          <w:rFonts w:cs="Arial"/>
        </w:rPr>
        <w:t xml:space="preserve"> </w:t>
      </w:r>
      <w:r>
        <w:rPr>
          <w:rFonts w:cs="Arial"/>
        </w:rPr>
        <w:t>the</w:t>
      </w:r>
      <w:r w:rsidR="00D93DF4">
        <w:rPr>
          <w:rFonts w:cs="Arial"/>
        </w:rPr>
        <w:t xml:space="preserve"> Msg3 buffer</w:t>
      </w:r>
      <w:r w:rsidR="00671CAC">
        <w:rPr>
          <w:rFonts w:cs="Arial"/>
        </w:rPr>
        <w:t xml:space="preserve">, </w:t>
      </w:r>
      <w:r w:rsidR="00E83722">
        <w:rPr>
          <w:rFonts w:cs="Arial"/>
        </w:rPr>
        <w:t xml:space="preserve">user data might be lost and </w:t>
      </w:r>
      <w:r w:rsidR="00671CAC">
        <w:rPr>
          <w:rFonts w:cs="Arial"/>
        </w:rPr>
        <w:t xml:space="preserve">there </w:t>
      </w:r>
      <w:r w:rsidR="00C96F3D">
        <w:rPr>
          <w:rFonts w:cs="Arial"/>
        </w:rPr>
        <w:t>might be n</w:t>
      </w:r>
      <w:r w:rsidR="00671CAC">
        <w:rPr>
          <w:rFonts w:cs="Arial"/>
        </w:rPr>
        <w:t>o</w:t>
      </w:r>
      <w:r w:rsidR="00C96F3D">
        <w:rPr>
          <w:rFonts w:cs="Arial"/>
        </w:rPr>
        <w:t xml:space="preserve"> RRC SDU available to build a new Msg3 PDU</w:t>
      </w:r>
      <w:r>
        <w:rPr>
          <w:rFonts w:cs="Arial"/>
        </w:rPr>
        <w:t>.</w:t>
      </w:r>
      <w:r w:rsidR="00D93DF4">
        <w:rPr>
          <w:rFonts w:cs="Arial"/>
        </w:rPr>
        <w:t xml:space="preserve"> </w:t>
      </w:r>
      <w:r>
        <w:rPr>
          <w:rFonts w:cs="Arial"/>
        </w:rPr>
        <w:t xml:space="preserve">Instead, </w:t>
      </w:r>
      <w:r w:rsidR="00752B7D">
        <w:rPr>
          <w:rFonts w:cs="Arial"/>
        </w:rPr>
        <w:t>the</w:t>
      </w:r>
      <w:r w:rsidR="00B87D4E">
        <w:rPr>
          <w:rFonts w:cs="Arial"/>
        </w:rPr>
        <w:t xml:space="preserve"> UE should </w:t>
      </w:r>
      <w:r w:rsidR="007134B8">
        <w:rPr>
          <w:rFonts w:cs="Arial"/>
        </w:rPr>
        <w:t xml:space="preserve">update the Msg3 PDU in Msg3 buffer </w:t>
      </w:r>
      <w:r w:rsidR="00F9200F">
        <w:rPr>
          <w:rFonts w:cs="Arial"/>
        </w:rPr>
        <w:t>according</w:t>
      </w:r>
      <w:r w:rsidR="00D93DF4">
        <w:rPr>
          <w:rFonts w:cs="Arial"/>
        </w:rPr>
        <w:t xml:space="preserve"> to the legacy grant</w:t>
      </w:r>
      <w:r w:rsidR="00DC4C71">
        <w:rPr>
          <w:rFonts w:cs="Arial"/>
        </w:rPr>
        <w:t>, i.e., to include only the signaling part</w:t>
      </w:r>
      <w:r w:rsidR="002E581E">
        <w:rPr>
          <w:rFonts w:cs="Arial"/>
        </w:rPr>
        <w:t xml:space="preserve">. It is important </w:t>
      </w:r>
      <w:r w:rsidR="006707F5">
        <w:rPr>
          <w:rFonts w:cs="Arial"/>
        </w:rPr>
        <w:t>that the UE needs to ensure the data no longer fi</w:t>
      </w:r>
      <w:r w:rsidR="00546D62">
        <w:rPr>
          <w:rFonts w:cs="Arial"/>
        </w:rPr>
        <w:t>ts in Msg3 is kept and can be pulled for next transmissions</w:t>
      </w:r>
      <w:r w:rsidR="00B87D4E">
        <w:rPr>
          <w:rFonts w:cs="Arial"/>
        </w:rPr>
        <w:t>.</w:t>
      </w:r>
      <w:r>
        <w:rPr>
          <w:rFonts w:cs="Arial"/>
        </w:rPr>
        <w:t xml:space="preserve"> In addition, it is confusing that the two conditions (highlighted text above) should be the same but have different wording.</w:t>
      </w:r>
    </w:p>
    <w:p w14:paraId="42558020" w14:textId="239BA3B5" w:rsidR="00D93DF4" w:rsidRPr="00CE0424" w:rsidRDefault="00D93DF4" w:rsidP="00D93DF4">
      <w:pPr>
        <w:pStyle w:val="Proposal"/>
        <w:tabs>
          <w:tab w:val="clear" w:pos="1304"/>
        </w:tabs>
        <w:ind w:left="1701" w:hanging="1701"/>
      </w:pPr>
      <w:bookmarkStart w:id="6" w:name="_Toc525833425"/>
      <w:r>
        <w:t xml:space="preserve">In the fallback due to legacy grant received in Msg2 in UP-EDT, MAC sub-layer </w:t>
      </w:r>
      <w:r w:rsidR="00DE184A">
        <w:t xml:space="preserve">updates </w:t>
      </w:r>
      <w:r w:rsidR="003671E6">
        <w:t xml:space="preserve">PDU in Msg3 buffer </w:t>
      </w:r>
      <w:r w:rsidR="00AE0661">
        <w:t xml:space="preserve">to fit </w:t>
      </w:r>
      <w:r w:rsidR="003671E6">
        <w:t xml:space="preserve">the </w:t>
      </w:r>
      <w:r>
        <w:t>legacy UL grant</w:t>
      </w:r>
      <w:r w:rsidR="00324B15">
        <w:t>.</w:t>
      </w:r>
      <w:r w:rsidR="00F61ECD">
        <w:t xml:space="preserve"> The UE shall ensure data no longer fits in Msg3 is</w:t>
      </w:r>
      <w:r w:rsidR="00B10EA9">
        <w:t xml:space="preserve"> not lost, i.e., can be pulled from upper layers again</w:t>
      </w:r>
      <w:r w:rsidR="00A53C10">
        <w:t>.</w:t>
      </w:r>
      <w:bookmarkEnd w:id="6"/>
    </w:p>
    <w:p w14:paraId="4153AE60" w14:textId="1E6F4E78" w:rsidR="00D93DF4" w:rsidRDefault="00384EF4" w:rsidP="00752B7D">
      <w:pPr>
        <w:pStyle w:val="BodyText"/>
      </w:pPr>
      <w:r>
        <w:t xml:space="preserve">Since the rebuilding of Msg3 MAC PDU is only needed if there is a PDU in Msg3 buffer, we think this text can be added in the </w:t>
      </w:r>
      <w:r w:rsidR="0041395F">
        <w:t xml:space="preserve">operation of HARQ entity, i.e., section 5.4.2.1 instead of in section 5.1.4. </w:t>
      </w:r>
      <w:r w:rsidR="00D93DF4">
        <w:t>The respective changes in TS</w:t>
      </w:r>
      <w:r w:rsidR="00FD2E08">
        <w:t xml:space="preserve"> </w:t>
      </w:r>
      <w:bookmarkStart w:id="7" w:name="_GoBack"/>
      <w:bookmarkEnd w:id="7"/>
      <w:r w:rsidR="00D93DF4">
        <w:t>36.321 (section 5.1.4</w:t>
      </w:r>
      <w:r w:rsidR="00800D3D">
        <w:t xml:space="preserve"> and 5.4.2.1</w:t>
      </w:r>
      <w:r w:rsidR="00D93DF4">
        <w:t xml:space="preserve">) are </w:t>
      </w:r>
      <w:r w:rsidR="008E40E5">
        <w:t xml:space="preserve">provided </w:t>
      </w:r>
      <w:r w:rsidR="00D93DF4">
        <w:t>in</w:t>
      </w:r>
      <w:r w:rsidR="009C1FE1">
        <w:t xml:space="preserve"> </w:t>
      </w:r>
      <w:r w:rsidR="009C1FE1">
        <w:fldChar w:fldCharType="begin"/>
      </w:r>
      <w:r w:rsidR="009C1FE1">
        <w:instrText xml:space="preserve"> REF _Ref525833334 \r \h </w:instrText>
      </w:r>
      <w:r w:rsidR="009C1FE1">
        <w:fldChar w:fldCharType="separate"/>
      </w:r>
      <w:r w:rsidR="003946AE">
        <w:t>[5]</w:t>
      </w:r>
      <w:r w:rsidR="009C1FE1">
        <w:fldChar w:fldCharType="end"/>
      </w:r>
      <w:r w:rsidR="00D93DF4">
        <w:t>.</w:t>
      </w:r>
    </w:p>
    <w:p w14:paraId="7B48EC3D" w14:textId="77777777" w:rsidR="00CC003F" w:rsidRDefault="00CC003F" w:rsidP="00CC003F">
      <w:pPr>
        <w:pStyle w:val="Heading2"/>
      </w:pPr>
      <w:r>
        <w:t>Fallback indicated in DCI (Fallback3)</w:t>
      </w:r>
    </w:p>
    <w:p w14:paraId="379BCE28" w14:textId="77777777" w:rsidR="00CC003F" w:rsidRDefault="00CC003F" w:rsidP="00CC003F">
      <w:pPr>
        <w:pStyle w:val="BodyText"/>
        <w:rPr>
          <w:rFonts w:cs="Arial"/>
        </w:rPr>
      </w:pPr>
      <w:r>
        <w:rPr>
          <w:rFonts w:cs="Arial"/>
        </w:rPr>
        <w:t>RAN1 (in RAN1#93) also discussed the possibility for the network to indicate the UE to fallback to legacy procedure via DCI, i.e., from retransmission. It is also up to RAN2 to decide whether to introduce such support of fallback from retransmission.</w:t>
      </w:r>
    </w:p>
    <w:p w14:paraId="6F40A0E1" w14:textId="77777777" w:rsidR="00CC003F" w:rsidRPr="00DA2C7F" w:rsidRDefault="00CC003F" w:rsidP="00CC003F">
      <w:pPr>
        <w:rPr>
          <w:rFonts w:cs="Arial"/>
          <w:b/>
          <w:i/>
        </w:rPr>
      </w:pPr>
      <w:r w:rsidRPr="00DA2C7F">
        <w:rPr>
          <w:rFonts w:cs="Arial"/>
          <w:b/>
          <w:i/>
        </w:rPr>
        <w:t>RAN1#93 agreement</w:t>
      </w:r>
    </w:p>
    <w:p w14:paraId="1D68DB77" w14:textId="77777777" w:rsidR="00CC003F" w:rsidRPr="00DA2C7F" w:rsidRDefault="00CC003F" w:rsidP="00CC003F">
      <w:pPr>
        <w:pStyle w:val="ListParagraph"/>
        <w:numPr>
          <w:ilvl w:val="0"/>
          <w:numId w:val="26"/>
        </w:numPr>
      </w:pPr>
      <w:r w:rsidRPr="003B7AC3">
        <w:t xml:space="preserve">DCI for Msg3 re-transmission can instruct physical layer in UE by using one unused state of MCS to indicate EDT Msg. 3 retransmission and the </w:t>
      </w:r>
      <w:r w:rsidRPr="00DA2C7F">
        <w:rPr>
          <w:rFonts w:eastAsia="Yu Mincho"/>
          <w:lang w:eastAsia="ja-JP"/>
        </w:rPr>
        <w:t>rest to indicate to fallback legacy Msg. 3 transmission.</w:t>
      </w:r>
      <w:r w:rsidRPr="00DA2C7F">
        <w:t xml:space="preserve"> </w:t>
      </w:r>
    </w:p>
    <w:p w14:paraId="5AB8244B" w14:textId="77777777" w:rsidR="00CC003F" w:rsidRPr="00DA2C7F" w:rsidRDefault="00CC003F" w:rsidP="00CC003F">
      <w:pPr>
        <w:pStyle w:val="ListParagraph"/>
        <w:numPr>
          <w:ilvl w:val="0"/>
          <w:numId w:val="26"/>
        </w:numPr>
      </w:pPr>
      <w:r w:rsidRPr="00DA2C7F">
        <w:rPr>
          <w:rFonts w:eastAsia="Yu Mincho"/>
          <w:lang w:eastAsia="ja-JP"/>
        </w:rPr>
        <w:t xml:space="preserve">Note: Spec. editor to choose </w:t>
      </w:r>
      <w:r w:rsidRPr="00DA2C7F">
        <w:t>one unused state of MCS</w:t>
      </w:r>
    </w:p>
    <w:p w14:paraId="655536B2" w14:textId="77777777" w:rsidR="00CC003F" w:rsidRPr="00DA2C7F" w:rsidRDefault="00CC003F" w:rsidP="00CC003F">
      <w:pPr>
        <w:pStyle w:val="ListParagraph"/>
        <w:numPr>
          <w:ilvl w:val="0"/>
          <w:numId w:val="26"/>
        </w:numPr>
        <w:rPr>
          <w:rFonts w:eastAsia="Yu Mincho"/>
          <w:lang w:eastAsia="ja-JP"/>
        </w:rPr>
      </w:pPr>
      <w:r w:rsidRPr="00DA2C7F">
        <w:rPr>
          <w:rFonts w:eastAsia="Yu Mincho"/>
          <w:lang w:eastAsia="ja-JP"/>
        </w:rPr>
        <w:t xml:space="preserve">Note: Whether to introduce higher layer support for this mechanism is up to RAN2. </w:t>
      </w:r>
    </w:p>
    <w:p w14:paraId="1120489F" w14:textId="77777777" w:rsidR="00CC003F" w:rsidRDefault="00CC003F" w:rsidP="00CC003F">
      <w:pPr>
        <w:pStyle w:val="BodyText"/>
        <w:rPr>
          <w:rFonts w:cs="Arial"/>
        </w:rPr>
      </w:pPr>
      <w:r>
        <w:rPr>
          <w:rFonts w:cs="Arial"/>
        </w:rPr>
        <w:t>We think it is beneficial if UE can fallback during Msg3 retransmissions, for example if the UE cannot access the eNB after some attempts.</w:t>
      </w:r>
    </w:p>
    <w:p w14:paraId="1E8EBC34" w14:textId="77777777" w:rsidR="00CC003F" w:rsidRDefault="00CC003F" w:rsidP="00CC003F">
      <w:pPr>
        <w:pStyle w:val="Proposal"/>
        <w:tabs>
          <w:tab w:val="clear" w:pos="1304"/>
        </w:tabs>
        <w:ind w:left="1701" w:hanging="1701"/>
      </w:pPr>
      <w:bookmarkStart w:id="8" w:name="_Toc525833426"/>
      <w:r>
        <w:t>Support fallback from Msg3 retransmission indicated in DCI.</w:t>
      </w:r>
      <w:bookmarkEnd w:id="8"/>
    </w:p>
    <w:p w14:paraId="64D6D275" w14:textId="559D2867" w:rsidR="00CC003F" w:rsidRDefault="00CC003F" w:rsidP="00CC003F">
      <w:pPr>
        <w:pStyle w:val="BodyText"/>
      </w:pPr>
      <w:r>
        <w:rPr>
          <w:rFonts w:cs="Arial"/>
        </w:rPr>
        <w:t xml:space="preserve">A </w:t>
      </w:r>
      <w:r w:rsidRPr="003C2050">
        <w:rPr>
          <w:rFonts w:cs="Arial"/>
        </w:rPr>
        <w:t xml:space="preserve">question is </w:t>
      </w:r>
      <w:r>
        <w:rPr>
          <w:rFonts w:cs="Arial"/>
        </w:rPr>
        <w:t xml:space="preserve">how the UE ensures that a legacy Msg3 PDU corresponding to the legacy UL grant can be prepared before the retransmission </w:t>
      </w:r>
      <w:r>
        <w:rPr>
          <w:rFonts w:cs="Arial"/>
        </w:rPr>
        <w:fldChar w:fldCharType="begin"/>
      </w:r>
      <w:r>
        <w:rPr>
          <w:rFonts w:cs="Arial"/>
        </w:rPr>
        <w:instrText xml:space="preserve"> REF _Ref525658670 \r \h </w:instrText>
      </w:r>
      <w:r>
        <w:rPr>
          <w:rFonts w:cs="Arial"/>
        </w:rPr>
      </w:r>
      <w:r>
        <w:rPr>
          <w:rFonts w:cs="Arial"/>
        </w:rPr>
        <w:fldChar w:fldCharType="separate"/>
      </w:r>
      <w:r w:rsidR="009C1FE1">
        <w:rPr>
          <w:rFonts w:cs="Arial"/>
        </w:rPr>
        <w:t>[6]</w:t>
      </w:r>
      <w:r>
        <w:rPr>
          <w:rFonts w:cs="Arial"/>
        </w:rPr>
        <w:fldChar w:fldCharType="end"/>
      </w:r>
      <w:r w:rsidRPr="003C2050">
        <w:rPr>
          <w:rFonts w:cs="Arial"/>
        </w:rPr>
        <w:t>.</w:t>
      </w:r>
      <w:r>
        <w:rPr>
          <w:rFonts w:cs="Arial"/>
        </w:rPr>
        <w:t xml:space="preserve"> Similar to the case of fallback before Msg1, we think it can be up to UE implementation how the RRC message (re)building is handled. For example, the UE would have ways to quickly rebuild the Msg3 PDU, i.e., keeping a copy of the RRC SDU at MAC sublayer in UP-EDT or RRC sublayer submitting both legacy RRC PDU and an EDT RRC PDU to MAC sublayer.</w:t>
      </w:r>
    </w:p>
    <w:p w14:paraId="2054BBDB" w14:textId="77777777" w:rsidR="00CC003F" w:rsidRDefault="00CC003F" w:rsidP="00CC003F">
      <w:pPr>
        <w:pStyle w:val="Proposal"/>
        <w:tabs>
          <w:tab w:val="clear" w:pos="1304"/>
        </w:tabs>
        <w:ind w:left="1701" w:hanging="1701"/>
      </w:pPr>
      <w:bookmarkStart w:id="9" w:name="_Toc525833427"/>
      <w:r>
        <w:t>It is up to UE implementation how the Msg3 MAC PDU is rebuilt for retransmission on time.</w:t>
      </w:r>
      <w:bookmarkEnd w:id="9"/>
    </w:p>
    <w:p w14:paraId="1F8E8DC5" w14:textId="4F7621E2" w:rsidR="00212E79" w:rsidRDefault="00212E79" w:rsidP="00212E79">
      <w:pPr>
        <w:pStyle w:val="Heading2"/>
      </w:pPr>
      <w:r>
        <w:t>Fallback after Msg3</w:t>
      </w:r>
      <w:r w:rsidR="00CC003F">
        <w:t xml:space="preserve"> (Fallback4)</w:t>
      </w:r>
    </w:p>
    <w:p w14:paraId="3AE17FC1" w14:textId="178199A1" w:rsidR="00212E79" w:rsidRPr="003C2050" w:rsidRDefault="00212E79" w:rsidP="00212E79">
      <w:pPr>
        <w:pStyle w:val="BodyText"/>
        <w:rPr>
          <w:rFonts w:cs="Arial"/>
        </w:rPr>
      </w:pPr>
      <w:r w:rsidRPr="003C2050">
        <w:rPr>
          <w:rFonts w:cs="Arial"/>
        </w:rPr>
        <w:t xml:space="preserve">There is another case of fallback, i.e., the UE receives the </w:t>
      </w:r>
      <w:r w:rsidRPr="00757647">
        <w:rPr>
          <w:rFonts w:cs="Arial"/>
          <w:i/>
        </w:rPr>
        <w:t>RRCConnectionSetup</w:t>
      </w:r>
      <w:r w:rsidRPr="003C2050">
        <w:rPr>
          <w:rFonts w:cs="Arial"/>
        </w:rPr>
        <w:t xml:space="preserve"> in response to an </w:t>
      </w:r>
      <w:r w:rsidRPr="00757647">
        <w:rPr>
          <w:rFonts w:cs="Arial"/>
          <w:i/>
        </w:rPr>
        <w:t>RRCConnectionResumeRequest</w:t>
      </w:r>
      <w:r w:rsidRPr="003C2050">
        <w:rPr>
          <w:rFonts w:cs="Arial"/>
        </w:rPr>
        <w:t xml:space="preserve"> for UP-EDT. A question is what the UE should assume about the UL data transmitted in Msg3. We think that </w:t>
      </w:r>
      <w:r w:rsidR="000B74B3">
        <w:rPr>
          <w:rFonts w:cs="Arial"/>
        </w:rPr>
        <w:t xml:space="preserve">the network sends the </w:t>
      </w:r>
      <w:r w:rsidR="000B74B3">
        <w:rPr>
          <w:rFonts w:cs="Arial"/>
          <w:i/>
        </w:rPr>
        <w:t xml:space="preserve">RRCConnectionSetup </w:t>
      </w:r>
      <w:r w:rsidR="000B74B3">
        <w:rPr>
          <w:rFonts w:cs="Arial"/>
        </w:rPr>
        <w:t xml:space="preserve">in Msg4 that may be because it cannot find the UE context for resuming, i.e., it is not possible to forward user data received in Msg3 to the S-GW in this case. Thus, </w:t>
      </w:r>
      <w:r w:rsidRPr="003C2050">
        <w:rPr>
          <w:rFonts w:cs="Arial"/>
        </w:rPr>
        <w:t>UE should assume that data has not been successfully delivered.</w:t>
      </w:r>
      <w:r w:rsidR="005949E0">
        <w:rPr>
          <w:rFonts w:cs="Arial"/>
        </w:rPr>
        <w:t xml:space="preserve"> Otherwise,</w:t>
      </w:r>
      <w:r w:rsidR="005949E0">
        <w:t xml:space="preserve"> the UE would discard user data when the PDCP discard timer expires or if it receives the RLC ACK. How to avoid mis-discarding of user data is discussed in</w:t>
      </w:r>
      <w:r w:rsidR="003E6D4A">
        <w:t xml:space="preserve"> </w:t>
      </w:r>
      <w:r w:rsidR="009C1FE1">
        <w:fldChar w:fldCharType="begin"/>
      </w:r>
      <w:r w:rsidR="009C1FE1">
        <w:instrText xml:space="preserve"> REF _Ref525833412 \r \h </w:instrText>
      </w:r>
      <w:r w:rsidR="009C1FE1">
        <w:fldChar w:fldCharType="separate"/>
      </w:r>
      <w:r w:rsidR="009C1FE1">
        <w:t>[3]</w:t>
      </w:r>
      <w:r w:rsidR="009C1FE1">
        <w:fldChar w:fldCharType="end"/>
      </w:r>
      <w:r w:rsidR="009C1FE1">
        <w:t>.</w:t>
      </w:r>
    </w:p>
    <w:p w14:paraId="77EEEA00" w14:textId="77777777" w:rsidR="00212E79" w:rsidRDefault="00212E79" w:rsidP="00212E79">
      <w:pPr>
        <w:pStyle w:val="Proposal"/>
        <w:tabs>
          <w:tab w:val="clear" w:pos="1304"/>
        </w:tabs>
        <w:ind w:left="1701" w:hanging="1701"/>
      </w:pPr>
      <w:bookmarkStart w:id="10" w:name="_Toc525833428"/>
      <w:r w:rsidRPr="003C2050">
        <w:lastRenderedPageBreak/>
        <w:t xml:space="preserve">If the UE receives the </w:t>
      </w:r>
      <w:r w:rsidRPr="003C2050">
        <w:rPr>
          <w:i/>
        </w:rPr>
        <w:t>RRCConnectionSetup</w:t>
      </w:r>
      <w:r w:rsidRPr="003C2050">
        <w:t xml:space="preserve"> in response to</w:t>
      </w:r>
      <w:r>
        <w:t xml:space="preserve"> an </w:t>
      </w:r>
      <w:r w:rsidRPr="00757647">
        <w:rPr>
          <w:i/>
        </w:rPr>
        <w:t>RRCConnectionResumeRequest</w:t>
      </w:r>
      <w:r>
        <w:t xml:space="preserve"> for EDT, UL data is considered not successfully delivered.</w:t>
      </w:r>
      <w:bookmarkEnd w:id="10"/>
    </w:p>
    <w:p w14:paraId="1CBDE2B3" w14:textId="77777777" w:rsidR="00C01F33" w:rsidRPr="00CE0424" w:rsidRDefault="00C01F33" w:rsidP="00CE0424">
      <w:pPr>
        <w:pStyle w:val="Heading1"/>
      </w:pPr>
      <w:bookmarkStart w:id="11" w:name="_Toc525659807"/>
      <w:bookmarkStart w:id="12" w:name="_Toc525820903"/>
      <w:bookmarkStart w:id="13" w:name="_Toc513462598"/>
      <w:bookmarkStart w:id="14" w:name="_Toc513462730"/>
      <w:bookmarkStart w:id="15" w:name="_Toc513462743"/>
      <w:bookmarkStart w:id="16" w:name="_Toc513462775"/>
      <w:bookmarkStart w:id="17" w:name="_Toc513462891"/>
      <w:bookmarkStart w:id="18" w:name="_Toc513462979"/>
      <w:bookmarkStart w:id="19" w:name="_Toc513463011"/>
      <w:bookmarkStart w:id="20" w:name="_Toc513463043"/>
      <w:bookmarkStart w:id="21" w:name="_Toc513463136"/>
      <w:bookmarkStart w:id="22" w:name="_Toc513463180"/>
      <w:bookmarkStart w:id="23" w:name="_Toc513463740"/>
      <w:bookmarkStart w:id="24" w:name="_Toc513463753"/>
      <w:bookmarkStart w:id="25" w:name="_Toc513462599"/>
      <w:bookmarkStart w:id="26" w:name="_Toc513462731"/>
      <w:bookmarkStart w:id="27" w:name="_Toc513462744"/>
      <w:bookmarkStart w:id="28" w:name="_Toc513462776"/>
      <w:bookmarkStart w:id="29" w:name="_Toc513462892"/>
      <w:bookmarkStart w:id="30" w:name="_Toc513462980"/>
      <w:bookmarkStart w:id="31" w:name="_Toc513463012"/>
      <w:bookmarkStart w:id="32" w:name="_Toc513463044"/>
      <w:bookmarkStart w:id="33" w:name="_Toc513463137"/>
      <w:bookmarkStart w:id="34" w:name="_Toc513463181"/>
      <w:bookmarkStart w:id="35" w:name="_Toc513463741"/>
      <w:bookmarkStart w:id="36" w:name="_Toc513463754"/>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CE0424">
        <w:t>Conclusion</w:t>
      </w:r>
    </w:p>
    <w:p w14:paraId="354F3CE5" w14:textId="2A45BE7E" w:rsidR="00AD6A49" w:rsidRDefault="008E065E" w:rsidP="006F35D7">
      <w:pPr>
        <w:pStyle w:val="BodyText"/>
      </w:pPr>
      <w:r>
        <w:t xml:space="preserve">In section </w:t>
      </w:r>
      <w:r w:rsidRPr="007E46D1">
        <w:fldChar w:fldCharType="begin"/>
      </w:r>
      <w:r w:rsidRPr="00CE0424">
        <w:instrText xml:space="preserve"> REF _Ref178064866 \r \h </w:instrText>
      </w:r>
      <w:r w:rsidR="00AD6A49">
        <w:instrText xml:space="preserve"> \* MERGEFORMAT </w:instrText>
      </w:r>
      <w:r w:rsidRPr="007E46D1">
        <w:fldChar w:fldCharType="separate"/>
      </w:r>
      <w:r w:rsidR="0098297C">
        <w:t>2</w:t>
      </w:r>
      <w:r w:rsidRPr="007E46D1">
        <w:fldChar w:fldCharType="end"/>
      </w:r>
      <w:r w:rsidRPr="00CE0424">
        <w:t xml:space="preserve"> we </w:t>
      </w:r>
      <w:r>
        <w:t>made the following observations</w:t>
      </w:r>
      <w:r w:rsidRPr="00CE0424">
        <w:t>:</w:t>
      </w:r>
    </w:p>
    <w:p w14:paraId="399F89CC" w14:textId="270D454D" w:rsidR="00331772" w:rsidRDefault="00CE2064">
      <w:pPr>
        <w:pStyle w:val="TOC1"/>
        <w:rPr>
          <w:rFonts w:asciiTheme="minorHAnsi" w:eastAsiaTheme="minorEastAsia" w:hAnsiTheme="minorHAnsi" w:cstheme="minorBidi"/>
          <w:b w:val="0"/>
          <w:sz w:val="22"/>
          <w:lang w:val="sv-SE" w:eastAsia="sv-SE"/>
        </w:rPr>
      </w:pPr>
      <w:r>
        <w:fldChar w:fldCharType="begin"/>
      </w:r>
      <w:r>
        <w:instrText xml:space="preserve"> TOC \n \h \z \t "Observation;1" </w:instrText>
      </w:r>
      <w:r>
        <w:fldChar w:fldCharType="separate"/>
      </w:r>
      <w:bookmarkStart w:id="37" w:name="_Hlk525293763"/>
      <w:r w:rsidR="00331772" w:rsidRPr="006F1732">
        <w:rPr>
          <w:rStyle w:val="Hyperlink"/>
        </w:rPr>
        <w:fldChar w:fldCharType="begin"/>
      </w:r>
      <w:r w:rsidR="00331772" w:rsidRPr="006F1732">
        <w:rPr>
          <w:rStyle w:val="Hyperlink"/>
        </w:rPr>
        <w:instrText xml:space="preserve"> </w:instrText>
      </w:r>
      <w:r w:rsidR="00331772">
        <w:instrText>HYPERLINK \l "_Toc525833421"</w:instrText>
      </w:r>
      <w:r w:rsidR="00331772" w:rsidRPr="006F1732">
        <w:rPr>
          <w:rStyle w:val="Hyperlink"/>
        </w:rPr>
        <w:instrText xml:space="preserve"> </w:instrText>
      </w:r>
      <w:r w:rsidR="00331772" w:rsidRPr="006F1732">
        <w:rPr>
          <w:rStyle w:val="Hyperlink"/>
        </w:rPr>
        <w:fldChar w:fldCharType="separate"/>
      </w:r>
      <w:r w:rsidR="00331772" w:rsidRPr="006F1732">
        <w:rPr>
          <w:rStyle w:val="Hyperlink"/>
          <w:rFonts w:cs="Arial"/>
        </w:rPr>
        <w:t>Observation 1</w:t>
      </w:r>
      <w:r w:rsidR="00331772">
        <w:rPr>
          <w:rFonts w:asciiTheme="minorHAnsi" w:eastAsiaTheme="minorEastAsia" w:hAnsiTheme="minorHAnsi" w:cstheme="minorBidi"/>
          <w:b w:val="0"/>
          <w:sz w:val="22"/>
          <w:lang w:val="sv-SE" w:eastAsia="sv-SE"/>
        </w:rPr>
        <w:tab/>
      </w:r>
      <w:r w:rsidR="00331772" w:rsidRPr="006F1732">
        <w:rPr>
          <w:rStyle w:val="Hyperlink"/>
        </w:rPr>
        <w:t>Fallback due to legacy grant received in Msg2 in UP-EDT does not need RRC involvement including (re)starting of T300 timer</w:t>
      </w:r>
      <w:r w:rsidR="00331772" w:rsidRPr="006F1732">
        <w:rPr>
          <w:rStyle w:val="Hyperlink"/>
          <w:lang w:val="en-US" w:eastAsia="en-US"/>
        </w:rPr>
        <w:t>.</w:t>
      </w:r>
      <w:r w:rsidR="00331772" w:rsidRPr="006F1732">
        <w:rPr>
          <w:rStyle w:val="Hyperlink"/>
        </w:rPr>
        <w:fldChar w:fldCharType="end"/>
      </w:r>
    </w:p>
    <w:bookmarkEnd w:id="37"/>
    <w:p w14:paraId="5617A3D9" w14:textId="78C144A7" w:rsidR="007E46D1" w:rsidRDefault="00CE2064" w:rsidP="006F35D7">
      <w:pPr>
        <w:pStyle w:val="BodyText"/>
      </w:pPr>
      <w:r>
        <w:fldChar w:fldCharType="end"/>
      </w:r>
    </w:p>
    <w:p w14:paraId="014FE82B" w14:textId="76962F93" w:rsidR="0011684E" w:rsidRDefault="008E065E" w:rsidP="006F35D7">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98297C">
        <w:t>2</w:t>
      </w:r>
      <w:r w:rsidRPr="00CE0424">
        <w:fldChar w:fldCharType="end"/>
      </w:r>
      <w:r w:rsidRPr="00CE0424">
        <w:t xml:space="preserve"> we propose the following:</w:t>
      </w:r>
    </w:p>
    <w:bookmarkStart w:id="38" w:name="_Hlk525293575"/>
    <w:p w14:paraId="6EA2155D" w14:textId="058FED4D" w:rsidR="00331772" w:rsidRDefault="0004072D">
      <w:pPr>
        <w:pStyle w:val="TOC1"/>
        <w:rPr>
          <w:rFonts w:asciiTheme="minorHAnsi" w:eastAsiaTheme="minorEastAsia" w:hAnsiTheme="minorHAnsi" w:cstheme="minorBidi"/>
          <w:b w:val="0"/>
          <w:sz w:val="22"/>
          <w:lang w:val="sv-SE" w:eastAsia="sv-SE"/>
        </w:rPr>
      </w:pPr>
      <w:r>
        <w:fldChar w:fldCharType="begin"/>
      </w:r>
      <w:r>
        <w:instrText xml:space="preserve"> TOC \n \h \z \t "Proposal;1" </w:instrText>
      </w:r>
      <w:r>
        <w:fldChar w:fldCharType="separate"/>
      </w:r>
      <w:hyperlink w:anchor="_Toc525833424" w:history="1">
        <w:r w:rsidR="00331772" w:rsidRPr="003E7897">
          <w:rPr>
            <w:rStyle w:val="Hyperlink"/>
          </w:rPr>
          <w:t>Proposal 1</w:t>
        </w:r>
        <w:r w:rsidR="00331772">
          <w:rPr>
            <w:rFonts w:asciiTheme="minorHAnsi" w:eastAsiaTheme="minorEastAsia" w:hAnsiTheme="minorHAnsi" w:cstheme="minorBidi"/>
            <w:b w:val="0"/>
            <w:sz w:val="22"/>
            <w:lang w:val="sv-SE" w:eastAsia="sv-SE"/>
          </w:rPr>
          <w:tab/>
        </w:r>
        <w:r w:rsidR="00331772" w:rsidRPr="003E7897">
          <w:rPr>
            <w:rStyle w:val="Hyperlink"/>
          </w:rPr>
          <w:t xml:space="preserve">MAC sub-layer does not indicate upper layers the fallback due to legacy grant received in Msg2 in UP-EDT and RRC sub-layer does not need to distinguish </w:t>
        </w:r>
        <w:r w:rsidR="00331772" w:rsidRPr="003E7897">
          <w:rPr>
            <w:rStyle w:val="Hyperlink"/>
            <w:rFonts w:cs="Arial"/>
          </w:rPr>
          <w:t>two fallback cases in UP-EDT</w:t>
        </w:r>
        <w:r w:rsidR="00331772" w:rsidRPr="003E7897">
          <w:rPr>
            <w:rStyle w:val="Hyperlink"/>
          </w:rPr>
          <w:t>.</w:t>
        </w:r>
      </w:hyperlink>
    </w:p>
    <w:p w14:paraId="5B1A7EB4" w14:textId="7CCC6447" w:rsidR="00331772" w:rsidRDefault="00FD2E08">
      <w:pPr>
        <w:pStyle w:val="TOC1"/>
        <w:rPr>
          <w:rFonts w:asciiTheme="minorHAnsi" w:eastAsiaTheme="minorEastAsia" w:hAnsiTheme="minorHAnsi" w:cstheme="minorBidi"/>
          <w:b w:val="0"/>
          <w:sz w:val="22"/>
          <w:lang w:val="sv-SE" w:eastAsia="sv-SE"/>
        </w:rPr>
      </w:pPr>
      <w:hyperlink w:anchor="_Toc525833425" w:history="1">
        <w:r w:rsidR="00331772" w:rsidRPr="003E7897">
          <w:rPr>
            <w:rStyle w:val="Hyperlink"/>
          </w:rPr>
          <w:t>Proposal 2</w:t>
        </w:r>
        <w:r w:rsidR="00331772">
          <w:rPr>
            <w:rFonts w:asciiTheme="minorHAnsi" w:eastAsiaTheme="minorEastAsia" w:hAnsiTheme="minorHAnsi" w:cstheme="minorBidi"/>
            <w:b w:val="0"/>
            <w:sz w:val="22"/>
            <w:lang w:val="sv-SE" w:eastAsia="sv-SE"/>
          </w:rPr>
          <w:tab/>
        </w:r>
        <w:r w:rsidR="00331772" w:rsidRPr="003E7897">
          <w:rPr>
            <w:rStyle w:val="Hyperlink"/>
          </w:rPr>
          <w:t>In the fallback due to legacy grant received in Msg2 in UP-EDT, MAC sub-layer updates PDU in Msg3 buffer to fit the legacy UL grant. The UE shall ensure data no longer fits in Msg3 is not lost, i.e., can be pulled from upper layers again.</w:t>
        </w:r>
      </w:hyperlink>
    </w:p>
    <w:p w14:paraId="227BAB37" w14:textId="71165CBB" w:rsidR="00331772" w:rsidRDefault="00FD2E08">
      <w:pPr>
        <w:pStyle w:val="TOC1"/>
        <w:rPr>
          <w:rFonts w:asciiTheme="minorHAnsi" w:eastAsiaTheme="minorEastAsia" w:hAnsiTheme="minorHAnsi" w:cstheme="minorBidi"/>
          <w:b w:val="0"/>
          <w:sz w:val="22"/>
          <w:lang w:val="sv-SE" w:eastAsia="sv-SE"/>
        </w:rPr>
      </w:pPr>
      <w:hyperlink w:anchor="_Toc525833426" w:history="1">
        <w:r w:rsidR="00331772" w:rsidRPr="003E7897">
          <w:rPr>
            <w:rStyle w:val="Hyperlink"/>
          </w:rPr>
          <w:t>Proposal 3</w:t>
        </w:r>
        <w:r w:rsidR="00331772">
          <w:rPr>
            <w:rFonts w:asciiTheme="minorHAnsi" w:eastAsiaTheme="minorEastAsia" w:hAnsiTheme="minorHAnsi" w:cstheme="minorBidi"/>
            <w:b w:val="0"/>
            <w:sz w:val="22"/>
            <w:lang w:val="sv-SE" w:eastAsia="sv-SE"/>
          </w:rPr>
          <w:tab/>
        </w:r>
        <w:r w:rsidR="00331772" w:rsidRPr="003E7897">
          <w:rPr>
            <w:rStyle w:val="Hyperlink"/>
          </w:rPr>
          <w:t>Support fallback from Msg3 retransmission indicated in DCI.</w:t>
        </w:r>
      </w:hyperlink>
    </w:p>
    <w:p w14:paraId="7D641F10" w14:textId="7BE24DE0" w:rsidR="00331772" w:rsidRDefault="00FD2E08">
      <w:pPr>
        <w:pStyle w:val="TOC1"/>
        <w:rPr>
          <w:rFonts w:asciiTheme="minorHAnsi" w:eastAsiaTheme="minorEastAsia" w:hAnsiTheme="minorHAnsi" w:cstheme="minorBidi"/>
          <w:b w:val="0"/>
          <w:sz w:val="22"/>
          <w:lang w:val="sv-SE" w:eastAsia="sv-SE"/>
        </w:rPr>
      </w:pPr>
      <w:hyperlink w:anchor="_Toc525833427" w:history="1">
        <w:r w:rsidR="00331772" w:rsidRPr="003E7897">
          <w:rPr>
            <w:rStyle w:val="Hyperlink"/>
          </w:rPr>
          <w:t>Proposal 4</w:t>
        </w:r>
        <w:r w:rsidR="00331772">
          <w:rPr>
            <w:rFonts w:asciiTheme="minorHAnsi" w:eastAsiaTheme="minorEastAsia" w:hAnsiTheme="minorHAnsi" w:cstheme="minorBidi"/>
            <w:b w:val="0"/>
            <w:sz w:val="22"/>
            <w:lang w:val="sv-SE" w:eastAsia="sv-SE"/>
          </w:rPr>
          <w:tab/>
        </w:r>
        <w:r w:rsidR="00331772" w:rsidRPr="003E7897">
          <w:rPr>
            <w:rStyle w:val="Hyperlink"/>
          </w:rPr>
          <w:t>It is up to UE implementation how the Msg3 MAC PDU is rebuilt for retransmission on time.</w:t>
        </w:r>
      </w:hyperlink>
    </w:p>
    <w:p w14:paraId="0508B0F6" w14:textId="2F1858A5" w:rsidR="00331772" w:rsidRDefault="00FD2E08">
      <w:pPr>
        <w:pStyle w:val="TOC1"/>
        <w:rPr>
          <w:rFonts w:asciiTheme="minorHAnsi" w:eastAsiaTheme="minorEastAsia" w:hAnsiTheme="minorHAnsi" w:cstheme="minorBidi"/>
          <w:b w:val="0"/>
          <w:sz w:val="22"/>
          <w:lang w:val="sv-SE" w:eastAsia="sv-SE"/>
        </w:rPr>
      </w:pPr>
      <w:hyperlink w:anchor="_Toc525833428" w:history="1">
        <w:r w:rsidR="00331772" w:rsidRPr="003E7897">
          <w:rPr>
            <w:rStyle w:val="Hyperlink"/>
          </w:rPr>
          <w:t>Proposal 5</w:t>
        </w:r>
        <w:r w:rsidR="00331772">
          <w:rPr>
            <w:rFonts w:asciiTheme="minorHAnsi" w:eastAsiaTheme="minorEastAsia" w:hAnsiTheme="minorHAnsi" w:cstheme="minorBidi"/>
            <w:b w:val="0"/>
            <w:sz w:val="22"/>
            <w:lang w:val="sv-SE" w:eastAsia="sv-SE"/>
          </w:rPr>
          <w:tab/>
        </w:r>
        <w:r w:rsidR="00331772" w:rsidRPr="003E7897">
          <w:rPr>
            <w:rStyle w:val="Hyperlink"/>
          </w:rPr>
          <w:t xml:space="preserve">If the UE receives the </w:t>
        </w:r>
        <w:r w:rsidR="00331772" w:rsidRPr="003E7897">
          <w:rPr>
            <w:rStyle w:val="Hyperlink"/>
            <w:i/>
          </w:rPr>
          <w:t>RRCConnectionSetup</w:t>
        </w:r>
        <w:r w:rsidR="00331772" w:rsidRPr="003E7897">
          <w:rPr>
            <w:rStyle w:val="Hyperlink"/>
          </w:rPr>
          <w:t xml:space="preserve"> in response to an </w:t>
        </w:r>
        <w:r w:rsidR="00331772" w:rsidRPr="003E7897">
          <w:rPr>
            <w:rStyle w:val="Hyperlink"/>
            <w:i/>
          </w:rPr>
          <w:t>RRCConnectionResumeRequest</w:t>
        </w:r>
        <w:r w:rsidR="00331772" w:rsidRPr="003E7897">
          <w:rPr>
            <w:rStyle w:val="Hyperlink"/>
          </w:rPr>
          <w:t xml:space="preserve"> for EDT, UL data is considered not successfully delivered.</w:t>
        </w:r>
      </w:hyperlink>
    </w:p>
    <w:p w14:paraId="6566003A" w14:textId="775B6799" w:rsidR="00C01F33" w:rsidRPr="00CE0424" w:rsidRDefault="0004072D" w:rsidP="006E062C">
      <w:r>
        <w:fldChar w:fldCharType="end"/>
      </w:r>
      <w:bookmarkEnd w:id="38"/>
    </w:p>
    <w:p w14:paraId="15239A93" w14:textId="77777777" w:rsidR="00F507D1" w:rsidRPr="00CE0424" w:rsidRDefault="00F507D1" w:rsidP="00CE0424">
      <w:pPr>
        <w:pStyle w:val="Heading1"/>
      </w:pPr>
      <w:bookmarkStart w:id="39" w:name="_In-sequence_SDU_delivery"/>
      <w:bookmarkEnd w:id="39"/>
      <w:r w:rsidRPr="00CE0424">
        <w:t>References</w:t>
      </w:r>
    </w:p>
    <w:p w14:paraId="43F9C755" w14:textId="64DE7668" w:rsidR="00B0774D" w:rsidRDefault="001420B6" w:rsidP="00B0774D">
      <w:pPr>
        <w:pStyle w:val="Reference"/>
      </w:pPr>
      <w:bookmarkStart w:id="40" w:name="_Ref525753572"/>
      <w:bookmarkStart w:id="41" w:name="_Ref525116157"/>
      <w:bookmarkStart w:id="42" w:name="_Ref525124446"/>
      <w:bookmarkStart w:id="43" w:name="_Ref500192261"/>
      <w:bookmarkStart w:id="44" w:name="_Ref498594565"/>
      <w:bookmarkStart w:id="45" w:name="_Hlk499735972"/>
      <w:bookmarkStart w:id="46" w:name="_Ref498516000"/>
      <w:bookmarkStart w:id="47" w:name="_Ref471288572"/>
      <w:bookmarkStart w:id="48" w:name="_Ref456181409"/>
      <w:bookmarkStart w:id="49" w:name="_Ref477769764"/>
      <w:bookmarkStart w:id="50" w:name="_Ref486595698"/>
      <w:bookmarkStart w:id="51" w:name="_Ref174151459"/>
      <w:bookmarkStart w:id="52" w:name="_Ref189809556"/>
      <w:bookmarkStart w:id="53" w:name="_Ref505087245"/>
      <w:bookmarkStart w:id="54" w:name="_Ref504493141"/>
      <w:r>
        <w:t>TS36.331</w:t>
      </w:r>
      <w:r w:rsidR="00B0774D">
        <w:t>, “RRC specification v15.3.0”</w:t>
      </w:r>
      <w:bookmarkEnd w:id="40"/>
    </w:p>
    <w:p w14:paraId="6060E8E9" w14:textId="77777777" w:rsidR="00B0774D" w:rsidRDefault="00B0774D" w:rsidP="00B0774D">
      <w:pPr>
        <w:pStyle w:val="Reference"/>
      </w:pPr>
      <w:bookmarkStart w:id="55" w:name="_Ref525833245"/>
      <w:r>
        <w:t>TS36.321, “MAC specification”, v15.2.0</w:t>
      </w:r>
      <w:bookmarkEnd w:id="55"/>
    </w:p>
    <w:p w14:paraId="00D4151B" w14:textId="77777777" w:rsidR="00B0774D" w:rsidRDefault="00B0774D" w:rsidP="00B0774D">
      <w:pPr>
        <w:pStyle w:val="Reference"/>
      </w:pPr>
      <w:bookmarkStart w:id="56" w:name="_Ref525833412"/>
      <w:r w:rsidRPr="00543FA7">
        <w:t>R2-</w:t>
      </w:r>
      <w:r w:rsidRPr="00DA2C7F">
        <w:t xml:space="preserve"> 1814332</w:t>
      </w:r>
      <w:r>
        <w:t>,</w:t>
      </w:r>
      <w:r w:rsidRPr="00543FA7">
        <w:t xml:space="preserve"> </w:t>
      </w:r>
      <w:r>
        <w:t>“</w:t>
      </w:r>
      <w:r w:rsidRPr="002A0A3F">
        <w:t>Corrections and clarifications for MO EDT</w:t>
      </w:r>
      <w:r>
        <w:t>”, source Ericsson, RAN2#103bis</w:t>
      </w:r>
      <w:bookmarkEnd w:id="56"/>
    </w:p>
    <w:p w14:paraId="633A53D8" w14:textId="77777777" w:rsidR="00B0774D" w:rsidRDefault="00B0774D" w:rsidP="00B0774D">
      <w:pPr>
        <w:pStyle w:val="Reference"/>
      </w:pPr>
      <w:bookmarkStart w:id="57" w:name="_Ref525833288"/>
      <w:r w:rsidRPr="00543FA7">
        <w:t>R2-</w:t>
      </w:r>
      <w:r w:rsidRPr="00DA2C7F">
        <w:t xml:space="preserve"> 1814333</w:t>
      </w:r>
      <w:r>
        <w:t>,</w:t>
      </w:r>
      <w:r w:rsidRPr="00543FA7">
        <w:t xml:space="preserve"> </w:t>
      </w:r>
      <w:r>
        <w:t>“</w:t>
      </w:r>
      <w:r w:rsidRPr="000C5118">
        <w:t>RRC CR for corrections and clarifications for MO EDT</w:t>
      </w:r>
      <w:r>
        <w:t>”, source Ericsson, RAN2#103bis</w:t>
      </w:r>
      <w:bookmarkEnd w:id="57"/>
    </w:p>
    <w:p w14:paraId="4FAF77A9" w14:textId="77777777" w:rsidR="00B0774D" w:rsidRDefault="00B0774D" w:rsidP="00B0774D">
      <w:pPr>
        <w:pStyle w:val="Reference"/>
      </w:pPr>
      <w:bookmarkStart w:id="58" w:name="_Ref525833334"/>
      <w:r w:rsidRPr="00543FA7">
        <w:t>R2-</w:t>
      </w:r>
      <w:r w:rsidRPr="00DA2C7F">
        <w:t xml:space="preserve"> 1814336</w:t>
      </w:r>
      <w:r>
        <w:t>, “MAC</w:t>
      </w:r>
      <w:r w:rsidRPr="000C5118">
        <w:t xml:space="preserve"> CR for corrections </w:t>
      </w:r>
      <w:r>
        <w:t>on fallback cases in E</w:t>
      </w:r>
      <w:r w:rsidRPr="000C5118">
        <w:t>DT</w:t>
      </w:r>
      <w:r>
        <w:rPr>
          <w:noProof/>
        </w:rPr>
        <w:t>”</w:t>
      </w:r>
      <w:r>
        <w:t>, source Ericsson, RAN2#103bis</w:t>
      </w:r>
      <w:bookmarkEnd w:id="58"/>
    </w:p>
    <w:p w14:paraId="2750FEA1" w14:textId="503BD2CC" w:rsidR="00D75AD9" w:rsidRDefault="00D75AD9" w:rsidP="00C806DD">
      <w:pPr>
        <w:pStyle w:val="Reference"/>
      </w:pPr>
      <w:bookmarkStart w:id="59" w:name="_Ref52565867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3B7AC3">
        <w:t>R2-1811821, “</w:t>
      </w:r>
      <w:r w:rsidRPr="003946AE">
        <w:t>Discussion on Msg3 fallback in EDT”, source Huawei, RAN2#103</w:t>
      </w:r>
      <w:bookmarkEnd w:id="59"/>
    </w:p>
    <w:sectPr w:rsidR="00D75A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C66163" w14:textId="77777777" w:rsidR="00F026F1" w:rsidRDefault="00F026F1">
      <w:r>
        <w:separator/>
      </w:r>
    </w:p>
  </w:endnote>
  <w:endnote w:type="continuationSeparator" w:id="0">
    <w:p w14:paraId="09E9A8A2" w14:textId="77777777" w:rsidR="00F026F1" w:rsidRDefault="00F026F1">
      <w:r>
        <w:continuationSeparator/>
      </w:r>
    </w:p>
  </w:endnote>
  <w:endnote w:type="continuationNotice" w:id="1">
    <w:p w14:paraId="14C831B6" w14:textId="77777777" w:rsidR="00F026F1" w:rsidRDefault="00F026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w:charset w:val="86"/>
    <w:family w:val="roman"/>
    <w:pitch w:val="default"/>
    <w:sig w:usb0="00000000" w:usb1="080E0000" w:usb2="00000010" w:usb3="00000000" w:csb0="00040000"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C2A9D8" w14:textId="77777777" w:rsidR="00F026F1" w:rsidRDefault="00F026F1">
      <w:r>
        <w:separator/>
      </w:r>
    </w:p>
  </w:footnote>
  <w:footnote w:type="continuationSeparator" w:id="0">
    <w:p w14:paraId="0E94DDDD" w14:textId="77777777" w:rsidR="00F026F1" w:rsidRDefault="00F026F1">
      <w:r>
        <w:continuationSeparator/>
      </w:r>
    </w:p>
  </w:footnote>
  <w:footnote w:type="continuationNotice" w:id="1">
    <w:p w14:paraId="048F0023" w14:textId="77777777" w:rsidR="00F026F1" w:rsidRDefault="00F026F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812201"/>
    <w:multiLevelType w:val="hybridMultilevel"/>
    <w:tmpl w:val="6FF44CF6"/>
    <w:lvl w:ilvl="0" w:tplc="D4821778">
      <w:start w:val="1"/>
      <w:numFmt w:val="bullet"/>
      <w:lvlText w:val="›"/>
      <w:lvlJc w:val="left"/>
      <w:pPr>
        <w:tabs>
          <w:tab w:val="num" w:pos="720"/>
        </w:tabs>
        <w:ind w:left="720" w:hanging="360"/>
      </w:pPr>
      <w:rPr>
        <w:rFonts w:ascii="Arial" w:hAnsi="Arial" w:hint="default"/>
      </w:rPr>
    </w:lvl>
    <w:lvl w:ilvl="1" w:tplc="C342555C" w:tentative="1">
      <w:start w:val="1"/>
      <w:numFmt w:val="bullet"/>
      <w:lvlText w:val="›"/>
      <w:lvlJc w:val="left"/>
      <w:pPr>
        <w:tabs>
          <w:tab w:val="num" w:pos="1440"/>
        </w:tabs>
        <w:ind w:left="1440" w:hanging="360"/>
      </w:pPr>
      <w:rPr>
        <w:rFonts w:ascii="Arial" w:hAnsi="Arial" w:hint="default"/>
      </w:rPr>
    </w:lvl>
    <w:lvl w:ilvl="2" w:tplc="2DAC85A4" w:tentative="1">
      <w:start w:val="1"/>
      <w:numFmt w:val="bullet"/>
      <w:lvlText w:val="›"/>
      <w:lvlJc w:val="left"/>
      <w:pPr>
        <w:tabs>
          <w:tab w:val="num" w:pos="2160"/>
        </w:tabs>
        <w:ind w:left="2160" w:hanging="360"/>
      </w:pPr>
      <w:rPr>
        <w:rFonts w:ascii="Arial" w:hAnsi="Arial" w:hint="default"/>
      </w:rPr>
    </w:lvl>
    <w:lvl w:ilvl="3" w:tplc="6D62A760" w:tentative="1">
      <w:start w:val="1"/>
      <w:numFmt w:val="bullet"/>
      <w:lvlText w:val="›"/>
      <w:lvlJc w:val="left"/>
      <w:pPr>
        <w:tabs>
          <w:tab w:val="num" w:pos="2880"/>
        </w:tabs>
        <w:ind w:left="2880" w:hanging="360"/>
      </w:pPr>
      <w:rPr>
        <w:rFonts w:ascii="Arial" w:hAnsi="Arial" w:hint="default"/>
      </w:rPr>
    </w:lvl>
    <w:lvl w:ilvl="4" w:tplc="823A5EFE" w:tentative="1">
      <w:start w:val="1"/>
      <w:numFmt w:val="bullet"/>
      <w:lvlText w:val="›"/>
      <w:lvlJc w:val="left"/>
      <w:pPr>
        <w:tabs>
          <w:tab w:val="num" w:pos="3600"/>
        </w:tabs>
        <w:ind w:left="3600" w:hanging="360"/>
      </w:pPr>
      <w:rPr>
        <w:rFonts w:ascii="Arial" w:hAnsi="Arial" w:hint="default"/>
      </w:rPr>
    </w:lvl>
    <w:lvl w:ilvl="5" w:tplc="A5402A52" w:tentative="1">
      <w:start w:val="1"/>
      <w:numFmt w:val="bullet"/>
      <w:lvlText w:val="›"/>
      <w:lvlJc w:val="left"/>
      <w:pPr>
        <w:tabs>
          <w:tab w:val="num" w:pos="4320"/>
        </w:tabs>
        <w:ind w:left="4320" w:hanging="360"/>
      </w:pPr>
      <w:rPr>
        <w:rFonts w:ascii="Arial" w:hAnsi="Arial" w:hint="default"/>
      </w:rPr>
    </w:lvl>
    <w:lvl w:ilvl="6" w:tplc="09DC8EEA" w:tentative="1">
      <w:start w:val="1"/>
      <w:numFmt w:val="bullet"/>
      <w:lvlText w:val="›"/>
      <w:lvlJc w:val="left"/>
      <w:pPr>
        <w:tabs>
          <w:tab w:val="num" w:pos="5040"/>
        </w:tabs>
        <w:ind w:left="5040" w:hanging="360"/>
      </w:pPr>
      <w:rPr>
        <w:rFonts w:ascii="Arial" w:hAnsi="Arial" w:hint="default"/>
      </w:rPr>
    </w:lvl>
    <w:lvl w:ilvl="7" w:tplc="1F962876" w:tentative="1">
      <w:start w:val="1"/>
      <w:numFmt w:val="bullet"/>
      <w:lvlText w:val="›"/>
      <w:lvlJc w:val="left"/>
      <w:pPr>
        <w:tabs>
          <w:tab w:val="num" w:pos="5760"/>
        </w:tabs>
        <w:ind w:left="5760" w:hanging="360"/>
      </w:pPr>
      <w:rPr>
        <w:rFonts w:ascii="Arial" w:hAnsi="Arial" w:hint="default"/>
      </w:rPr>
    </w:lvl>
    <w:lvl w:ilvl="8" w:tplc="8DE88E6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A20BCB"/>
    <w:multiLevelType w:val="hybridMultilevel"/>
    <w:tmpl w:val="2C5C2C44"/>
    <w:lvl w:ilvl="0" w:tplc="AB102498">
      <w:start w:val="1"/>
      <w:numFmt w:val="bullet"/>
      <w:lvlText w:val="–"/>
      <w:lvlJc w:val="left"/>
      <w:pPr>
        <w:tabs>
          <w:tab w:val="num" w:pos="720"/>
        </w:tabs>
        <w:ind w:left="720" w:hanging="360"/>
      </w:pPr>
      <w:rPr>
        <w:rFonts w:ascii="Ericsson Capital TT" w:hAnsi="Ericsson Capital TT" w:hint="default"/>
      </w:rPr>
    </w:lvl>
    <w:lvl w:ilvl="1" w:tplc="380C99FA">
      <w:start w:val="1"/>
      <w:numFmt w:val="bullet"/>
      <w:lvlText w:val="–"/>
      <w:lvlJc w:val="left"/>
      <w:pPr>
        <w:tabs>
          <w:tab w:val="num" w:pos="1440"/>
        </w:tabs>
        <w:ind w:left="1440" w:hanging="360"/>
      </w:pPr>
      <w:rPr>
        <w:rFonts w:ascii="Ericsson Capital TT" w:hAnsi="Ericsson Capital TT" w:hint="default"/>
      </w:rPr>
    </w:lvl>
    <w:lvl w:ilvl="2" w:tplc="9C1410C2" w:tentative="1">
      <w:start w:val="1"/>
      <w:numFmt w:val="bullet"/>
      <w:lvlText w:val="–"/>
      <w:lvlJc w:val="left"/>
      <w:pPr>
        <w:tabs>
          <w:tab w:val="num" w:pos="2160"/>
        </w:tabs>
        <w:ind w:left="2160" w:hanging="360"/>
      </w:pPr>
      <w:rPr>
        <w:rFonts w:ascii="Ericsson Capital TT" w:hAnsi="Ericsson Capital TT" w:hint="default"/>
      </w:rPr>
    </w:lvl>
    <w:lvl w:ilvl="3" w:tplc="69F439F6" w:tentative="1">
      <w:start w:val="1"/>
      <w:numFmt w:val="bullet"/>
      <w:lvlText w:val="–"/>
      <w:lvlJc w:val="left"/>
      <w:pPr>
        <w:tabs>
          <w:tab w:val="num" w:pos="2880"/>
        </w:tabs>
        <w:ind w:left="2880" w:hanging="360"/>
      </w:pPr>
      <w:rPr>
        <w:rFonts w:ascii="Ericsson Capital TT" w:hAnsi="Ericsson Capital TT" w:hint="default"/>
      </w:rPr>
    </w:lvl>
    <w:lvl w:ilvl="4" w:tplc="1F9E68A6" w:tentative="1">
      <w:start w:val="1"/>
      <w:numFmt w:val="bullet"/>
      <w:lvlText w:val="–"/>
      <w:lvlJc w:val="left"/>
      <w:pPr>
        <w:tabs>
          <w:tab w:val="num" w:pos="3600"/>
        </w:tabs>
        <w:ind w:left="3600" w:hanging="360"/>
      </w:pPr>
      <w:rPr>
        <w:rFonts w:ascii="Ericsson Capital TT" w:hAnsi="Ericsson Capital TT" w:hint="default"/>
      </w:rPr>
    </w:lvl>
    <w:lvl w:ilvl="5" w:tplc="100CDB92" w:tentative="1">
      <w:start w:val="1"/>
      <w:numFmt w:val="bullet"/>
      <w:lvlText w:val="–"/>
      <w:lvlJc w:val="left"/>
      <w:pPr>
        <w:tabs>
          <w:tab w:val="num" w:pos="4320"/>
        </w:tabs>
        <w:ind w:left="4320" w:hanging="360"/>
      </w:pPr>
      <w:rPr>
        <w:rFonts w:ascii="Ericsson Capital TT" w:hAnsi="Ericsson Capital TT" w:hint="default"/>
      </w:rPr>
    </w:lvl>
    <w:lvl w:ilvl="6" w:tplc="00F29B5A" w:tentative="1">
      <w:start w:val="1"/>
      <w:numFmt w:val="bullet"/>
      <w:lvlText w:val="–"/>
      <w:lvlJc w:val="left"/>
      <w:pPr>
        <w:tabs>
          <w:tab w:val="num" w:pos="5040"/>
        </w:tabs>
        <w:ind w:left="5040" w:hanging="360"/>
      </w:pPr>
      <w:rPr>
        <w:rFonts w:ascii="Ericsson Capital TT" w:hAnsi="Ericsson Capital TT" w:hint="default"/>
      </w:rPr>
    </w:lvl>
    <w:lvl w:ilvl="7" w:tplc="57B072E8" w:tentative="1">
      <w:start w:val="1"/>
      <w:numFmt w:val="bullet"/>
      <w:lvlText w:val="–"/>
      <w:lvlJc w:val="left"/>
      <w:pPr>
        <w:tabs>
          <w:tab w:val="num" w:pos="5760"/>
        </w:tabs>
        <w:ind w:left="5760" w:hanging="360"/>
      </w:pPr>
      <w:rPr>
        <w:rFonts w:ascii="Ericsson Capital TT" w:hAnsi="Ericsson Capital TT" w:hint="default"/>
      </w:rPr>
    </w:lvl>
    <w:lvl w:ilvl="8" w:tplc="C114B506" w:tentative="1">
      <w:start w:val="1"/>
      <w:numFmt w:val="bullet"/>
      <w:lvlText w:val="–"/>
      <w:lvlJc w:val="left"/>
      <w:pPr>
        <w:tabs>
          <w:tab w:val="num" w:pos="6480"/>
        </w:tabs>
        <w:ind w:left="6480" w:hanging="360"/>
      </w:pPr>
      <w:rPr>
        <w:rFonts w:ascii="Ericsson Capital TT" w:hAnsi="Ericsson Capital TT" w:hint="default"/>
      </w:rPr>
    </w:lvl>
  </w:abstractNum>
  <w:abstractNum w:abstractNumId="3" w15:restartNumberingAfterBreak="0">
    <w:nsid w:val="2C2127C5"/>
    <w:multiLevelType w:val="hybridMultilevel"/>
    <w:tmpl w:val="BC86CF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D526930"/>
    <w:multiLevelType w:val="hybridMultilevel"/>
    <w:tmpl w:val="345899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ECB2B3C"/>
    <w:multiLevelType w:val="hybridMultilevel"/>
    <w:tmpl w:val="9FFE40F6"/>
    <w:lvl w:ilvl="0" w:tplc="627ED5B2">
      <w:numFmt w:val="bullet"/>
      <w:lvlText w:val="-"/>
      <w:lvlJc w:val="left"/>
      <w:pPr>
        <w:ind w:left="1080" w:hanging="360"/>
      </w:pPr>
      <w:rPr>
        <w:rFonts w:ascii="Arial" w:eastAsia="Times New Roman" w:hAnsi="Arial" w:cs="Aria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6A5416"/>
    <w:multiLevelType w:val="hybridMultilevel"/>
    <w:tmpl w:val="165C17F2"/>
    <w:lvl w:ilvl="0" w:tplc="DEFCF1EA">
      <w:start w:val="1"/>
      <w:numFmt w:val="bullet"/>
      <w:lvlText w:val="–"/>
      <w:lvlJc w:val="left"/>
      <w:pPr>
        <w:tabs>
          <w:tab w:val="num" w:pos="720"/>
        </w:tabs>
        <w:ind w:left="720" w:hanging="360"/>
      </w:pPr>
      <w:rPr>
        <w:rFonts w:ascii="Ericsson Capital TT" w:hAnsi="Ericsson Capital TT" w:hint="default"/>
      </w:rPr>
    </w:lvl>
    <w:lvl w:ilvl="1" w:tplc="22243876">
      <w:start w:val="1"/>
      <w:numFmt w:val="bullet"/>
      <w:lvlText w:val="–"/>
      <w:lvlJc w:val="left"/>
      <w:pPr>
        <w:tabs>
          <w:tab w:val="num" w:pos="1440"/>
        </w:tabs>
        <w:ind w:left="1440" w:hanging="360"/>
      </w:pPr>
      <w:rPr>
        <w:rFonts w:ascii="Ericsson Capital TT" w:hAnsi="Ericsson Capital TT" w:hint="default"/>
      </w:rPr>
    </w:lvl>
    <w:lvl w:ilvl="2" w:tplc="91FE4DC8" w:tentative="1">
      <w:start w:val="1"/>
      <w:numFmt w:val="bullet"/>
      <w:lvlText w:val="–"/>
      <w:lvlJc w:val="left"/>
      <w:pPr>
        <w:tabs>
          <w:tab w:val="num" w:pos="2160"/>
        </w:tabs>
        <w:ind w:left="2160" w:hanging="360"/>
      </w:pPr>
      <w:rPr>
        <w:rFonts w:ascii="Ericsson Capital TT" w:hAnsi="Ericsson Capital TT" w:hint="default"/>
      </w:rPr>
    </w:lvl>
    <w:lvl w:ilvl="3" w:tplc="7068DC98" w:tentative="1">
      <w:start w:val="1"/>
      <w:numFmt w:val="bullet"/>
      <w:lvlText w:val="–"/>
      <w:lvlJc w:val="left"/>
      <w:pPr>
        <w:tabs>
          <w:tab w:val="num" w:pos="2880"/>
        </w:tabs>
        <w:ind w:left="2880" w:hanging="360"/>
      </w:pPr>
      <w:rPr>
        <w:rFonts w:ascii="Ericsson Capital TT" w:hAnsi="Ericsson Capital TT" w:hint="default"/>
      </w:rPr>
    </w:lvl>
    <w:lvl w:ilvl="4" w:tplc="5ED4774C" w:tentative="1">
      <w:start w:val="1"/>
      <w:numFmt w:val="bullet"/>
      <w:lvlText w:val="–"/>
      <w:lvlJc w:val="left"/>
      <w:pPr>
        <w:tabs>
          <w:tab w:val="num" w:pos="3600"/>
        </w:tabs>
        <w:ind w:left="3600" w:hanging="360"/>
      </w:pPr>
      <w:rPr>
        <w:rFonts w:ascii="Ericsson Capital TT" w:hAnsi="Ericsson Capital TT" w:hint="default"/>
      </w:rPr>
    </w:lvl>
    <w:lvl w:ilvl="5" w:tplc="1632E6D6" w:tentative="1">
      <w:start w:val="1"/>
      <w:numFmt w:val="bullet"/>
      <w:lvlText w:val="–"/>
      <w:lvlJc w:val="left"/>
      <w:pPr>
        <w:tabs>
          <w:tab w:val="num" w:pos="4320"/>
        </w:tabs>
        <w:ind w:left="4320" w:hanging="360"/>
      </w:pPr>
      <w:rPr>
        <w:rFonts w:ascii="Ericsson Capital TT" w:hAnsi="Ericsson Capital TT" w:hint="default"/>
      </w:rPr>
    </w:lvl>
    <w:lvl w:ilvl="6" w:tplc="5D0C1FC2" w:tentative="1">
      <w:start w:val="1"/>
      <w:numFmt w:val="bullet"/>
      <w:lvlText w:val="–"/>
      <w:lvlJc w:val="left"/>
      <w:pPr>
        <w:tabs>
          <w:tab w:val="num" w:pos="5040"/>
        </w:tabs>
        <w:ind w:left="5040" w:hanging="360"/>
      </w:pPr>
      <w:rPr>
        <w:rFonts w:ascii="Ericsson Capital TT" w:hAnsi="Ericsson Capital TT" w:hint="default"/>
      </w:rPr>
    </w:lvl>
    <w:lvl w:ilvl="7" w:tplc="D990E214" w:tentative="1">
      <w:start w:val="1"/>
      <w:numFmt w:val="bullet"/>
      <w:lvlText w:val="–"/>
      <w:lvlJc w:val="left"/>
      <w:pPr>
        <w:tabs>
          <w:tab w:val="num" w:pos="5760"/>
        </w:tabs>
        <w:ind w:left="5760" w:hanging="360"/>
      </w:pPr>
      <w:rPr>
        <w:rFonts w:ascii="Ericsson Capital TT" w:hAnsi="Ericsson Capital TT" w:hint="default"/>
      </w:rPr>
    </w:lvl>
    <w:lvl w:ilvl="8" w:tplc="B726DE72" w:tentative="1">
      <w:start w:val="1"/>
      <w:numFmt w:val="bullet"/>
      <w:lvlText w:val="–"/>
      <w:lvlJc w:val="left"/>
      <w:pPr>
        <w:tabs>
          <w:tab w:val="num" w:pos="6480"/>
        </w:tabs>
        <w:ind w:left="6480" w:hanging="360"/>
      </w:pPr>
      <w:rPr>
        <w:rFonts w:ascii="Ericsson Capital TT" w:hAnsi="Ericsson Capital TT"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22188B"/>
    <w:multiLevelType w:val="hybridMultilevel"/>
    <w:tmpl w:val="842871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7F35EC1"/>
    <w:multiLevelType w:val="hybridMultilevel"/>
    <w:tmpl w:val="9844057A"/>
    <w:lvl w:ilvl="0" w:tplc="041D0001">
      <w:start w:val="1"/>
      <w:numFmt w:val="bullet"/>
      <w:lvlText w:val=""/>
      <w:lvlJc w:val="left"/>
      <w:pPr>
        <w:ind w:left="2421" w:hanging="360"/>
      </w:pPr>
      <w:rPr>
        <w:rFonts w:ascii="Symbol" w:hAnsi="Symbol" w:hint="default"/>
      </w:rPr>
    </w:lvl>
    <w:lvl w:ilvl="1" w:tplc="041D0019" w:tentative="1">
      <w:start w:val="1"/>
      <w:numFmt w:val="lowerLetter"/>
      <w:lvlText w:val="%2."/>
      <w:lvlJc w:val="left"/>
      <w:pPr>
        <w:ind w:left="3141" w:hanging="360"/>
      </w:pPr>
    </w:lvl>
    <w:lvl w:ilvl="2" w:tplc="041D001B" w:tentative="1">
      <w:start w:val="1"/>
      <w:numFmt w:val="lowerRoman"/>
      <w:lvlText w:val="%3."/>
      <w:lvlJc w:val="right"/>
      <w:pPr>
        <w:ind w:left="3861" w:hanging="180"/>
      </w:pPr>
    </w:lvl>
    <w:lvl w:ilvl="3" w:tplc="041D000F" w:tentative="1">
      <w:start w:val="1"/>
      <w:numFmt w:val="decimal"/>
      <w:lvlText w:val="%4."/>
      <w:lvlJc w:val="left"/>
      <w:pPr>
        <w:ind w:left="4581" w:hanging="360"/>
      </w:pPr>
    </w:lvl>
    <w:lvl w:ilvl="4" w:tplc="041D0019" w:tentative="1">
      <w:start w:val="1"/>
      <w:numFmt w:val="lowerLetter"/>
      <w:lvlText w:val="%5."/>
      <w:lvlJc w:val="left"/>
      <w:pPr>
        <w:ind w:left="5301" w:hanging="360"/>
      </w:pPr>
    </w:lvl>
    <w:lvl w:ilvl="5" w:tplc="041D001B" w:tentative="1">
      <w:start w:val="1"/>
      <w:numFmt w:val="lowerRoman"/>
      <w:lvlText w:val="%6."/>
      <w:lvlJc w:val="right"/>
      <w:pPr>
        <w:ind w:left="6021" w:hanging="180"/>
      </w:pPr>
    </w:lvl>
    <w:lvl w:ilvl="6" w:tplc="041D000F" w:tentative="1">
      <w:start w:val="1"/>
      <w:numFmt w:val="decimal"/>
      <w:lvlText w:val="%7."/>
      <w:lvlJc w:val="left"/>
      <w:pPr>
        <w:ind w:left="6741" w:hanging="360"/>
      </w:pPr>
    </w:lvl>
    <w:lvl w:ilvl="7" w:tplc="041D0019" w:tentative="1">
      <w:start w:val="1"/>
      <w:numFmt w:val="lowerLetter"/>
      <w:lvlText w:val="%8."/>
      <w:lvlJc w:val="left"/>
      <w:pPr>
        <w:ind w:left="7461" w:hanging="360"/>
      </w:pPr>
    </w:lvl>
    <w:lvl w:ilvl="8" w:tplc="041D001B" w:tentative="1">
      <w:start w:val="1"/>
      <w:numFmt w:val="lowerRoman"/>
      <w:lvlText w:val="%9."/>
      <w:lvlJc w:val="right"/>
      <w:pPr>
        <w:ind w:left="8181"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F93B41"/>
    <w:multiLevelType w:val="hybridMultilevel"/>
    <w:tmpl w:val="E602613C"/>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8" w15:restartNumberingAfterBreak="0">
    <w:nsid w:val="59707679"/>
    <w:multiLevelType w:val="hybridMultilevel"/>
    <w:tmpl w:val="C284CA4E"/>
    <w:lvl w:ilvl="0" w:tplc="E432100C">
      <w:numFmt w:val="bullet"/>
      <w:lvlText w:val="-"/>
      <w:lvlJc w:val="left"/>
      <w:pPr>
        <w:ind w:left="1440" w:hanging="360"/>
      </w:pPr>
      <w:rPr>
        <w:rFonts w:ascii="Arial" w:eastAsia="MS Mincho" w:hAnsi="Arial" w:cs="Aria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9" w15:restartNumberingAfterBreak="0">
    <w:nsid w:val="66551FB5"/>
    <w:multiLevelType w:val="hybridMultilevel"/>
    <w:tmpl w:val="A796964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9EB3600"/>
    <w:multiLevelType w:val="hybridMultilevel"/>
    <w:tmpl w:val="A2504D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2520"/>
        </w:tabs>
        <w:ind w:left="2520" w:hanging="360"/>
      </w:pPr>
      <w:rPr>
        <w:rFonts w:ascii="Symbol" w:hAnsi="Symbol" w:hint="default"/>
        <w:b/>
        <w:i w:val="0"/>
        <w:color w:val="auto"/>
        <w:sz w:val="22"/>
      </w:rPr>
    </w:lvl>
    <w:lvl w:ilvl="1" w:tplc="04090003">
      <w:start w:val="1"/>
      <w:numFmt w:val="bullet"/>
      <w:lvlText w:val="o"/>
      <w:lvlJc w:val="left"/>
      <w:pPr>
        <w:tabs>
          <w:tab w:val="num" w:pos="2341"/>
        </w:tabs>
        <w:ind w:left="2341" w:hanging="360"/>
      </w:pPr>
      <w:rPr>
        <w:rFonts w:ascii="Courier New" w:hAnsi="Courier New" w:cs="Courier New" w:hint="default"/>
      </w:rPr>
    </w:lvl>
    <w:lvl w:ilvl="2" w:tplc="04090005" w:tentative="1">
      <w:start w:val="1"/>
      <w:numFmt w:val="bullet"/>
      <w:lvlText w:val=""/>
      <w:lvlJc w:val="left"/>
      <w:pPr>
        <w:tabs>
          <w:tab w:val="num" w:pos="3061"/>
        </w:tabs>
        <w:ind w:left="3061" w:hanging="360"/>
      </w:pPr>
      <w:rPr>
        <w:rFonts w:ascii="Wingdings" w:hAnsi="Wingdings" w:hint="default"/>
      </w:rPr>
    </w:lvl>
    <w:lvl w:ilvl="3" w:tplc="04090001" w:tentative="1">
      <w:start w:val="1"/>
      <w:numFmt w:val="bullet"/>
      <w:lvlText w:val=""/>
      <w:lvlJc w:val="left"/>
      <w:pPr>
        <w:tabs>
          <w:tab w:val="num" w:pos="3781"/>
        </w:tabs>
        <w:ind w:left="3781" w:hanging="360"/>
      </w:pPr>
      <w:rPr>
        <w:rFonts w:ascii="Symbol" w:hAnsi="Symbol" w:hint="default"/>
      </w:rPr>
    </w:lvl>
    <w:lvl w:ilvl="4" w:tplc="04090003" w:tentative="1">
      <w:start w:val="1"/>
      <w:numFmt w:val="bullet"/>
      <w:lvlText w:val="o"/>
      <w:lvlJc w:val="left"/>
      <w:pPr>
        <w:tabs>
          <w:tab w:val="num" w:pos="4501"/>
        </w:tabs>
        <w:ind w:left="4501" w:hanging="360"/>
      </w:pPr>
      <w:rPr>
        <w:rFonts w:ascii="Courier New" w:hAnsi="Courier New" w:cs="Courier New" w:hint="default"/>
      </w:rPr>
    </w:lvl>
    <w:lvl w:ilvl="5" w:tplc="04090005" w:tentative="1">
      <w:start w:val="1"/>
      <w:numFmt w:val="bullet"/>
      <w:lvlText w:val=""/>
      <w:lvlJc w:val="left"/>
      <w:pPr>
        <w:tabs>
          <w:tab w:val="num" w:pos="5221"/>
        </w:tabs>
        <w:ind w:left="5221" w:hanging="360"/>
      </w:pPr>
      <w:rPr>
        <w:rFonts w:ascii="Wingdings" w:hAnsi="Wingdings" w:hint="default"/>
      </w:rPr>
    </w:lvl>
    <w:lvl w:ilvl="6" w:tplc="04090001" w:tentative="1">
      <w:start w:val="1"/>
      <w:numFmt w:val="bullet"/>
      <w:lvlText w:val=""/>
      <w:lvlJc w:val="left"/>
      <w:pPr>
        <w:tabs>
          <w:tab w:val="num" w:pos="5941"/>
        </w:tabs>
        <w:ind w:left="5941" w:hanging="360"/>
      </w:pPr>
      <w:rPr>
        <w:rFonts w:ascii="Symbol" w:hAnsi="Symbol" w:hint="default"/>
      </w:rPr>
    </w:lvl>
    <w:lvl w:ilvl="7" w:tplc="04090003" w:tentative="1">
      <w:start w:val="1"/>
      <w:numFmt w:val="bullet"/>
      <w:lvlText w:val="o"/>
      <w:lvlJc w:val="left"/>
      <w:pPr>
        <w:tabs>
          <w:tab w:val="num" w:pos="6661"/>
        </w:tabs>
        <w:ind w:left="6661" w:hanging="360"/>
      </w:pPr>
      <w:rPr>
        <w:rFonts w:ascii="Courier New" w:hAnsi="Courier New" w:cs="Courier New" w:hint="default"/>
      </w:rPr>
    </w:lvl>
    <w:lvl w:ilvl="8" w:tplc="04090005" w:tentative="1">
      <w:start w:val="1"/>
      <w:numFmt w:val="bullet"/>
      <w:lvlText w:val=""/>
      <w:lvlJc w:val="left"/>
      <w:pPr>
        <w:tabs>
          <w:tab w:val="num" w:pos="7381"/>
        </w:tabs>
        <w:ind w:left="7381" w:hanging="360"/>
      </w:pPr>
      <w:rPr>
        <w:rFonts w:ascii="Wingdings" w:hAnsi="Wingdings" w:hint="default"/>
      </w:rPr>
    </w:lvl>
  </w:abstractNum>
  <w:abstractNum w:abstractNumId="22" w15:restartNumberingAfterBreak="0">
    <w:nsid w:val="764F0A60"/>
    <w:multiLevelType w:val="hybridMultilevel"/>
    <w:tmpl w:val="22FA4A46"/>
    <w:lvl w:ilvl="0" w:tplc="E432100C">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CF87CE8"/>
    <w:multiLevelType w:val="hybridMultilevel"/>
    <w:tmpl w:val="29866D06"/>
    <w:lvl w:ilvl="0" w:tplc="F4E20CF4">
      <w:start w:val="1"/>
      <w:numFmt w:val="bullet"/>
      <w:lvlText w:val="•"/>
      <w:lvlJc w:val="left"/>
      <w:pPr>
        <w:tabs>
          <w:tab w:val="num" w:pos="462"/>
        </w:tabs>
        <w:ind w:left="462" w:hanging="360"/>
      </w:pPr>
      <w:rPr>
        <w:rFonts w:ascii="Arial" w:hAnsi="Arial" w:cs="Times New Roman" w:hint="default"/>
      </w:rPr>
    </w:lvl>
    <w:lvl w:ilvl="1" w:tplc="6FB86B4A">
      <w:numFmt w:val="bullet"/>
      <w:lvlText w:val="•"/>
      <w:lvlJc w:val="left"/>
      <w:pPr>
        <w:tabs>
          <w:tab w:val="num" w:pos="1182"/>
        </w:tabs>
        <w:ind w:left="1182" w:hanging="360"/>
      </w:pPr>
      <w:rPr>
        <w:rFonts w:ascii="Arial" w:hAnsi="Arial" w:cs="Times New Roman" w:hint="default"/>
      </w:rPr>
    </w:lvl>
    <w:lvl w:ilvl="2" w:tplc="6CE4DBC6">
      <w:numFmt w:val="bullet"/>
      <w:lvlText w:val="•"/>
      <w:lvlJc w:val="left"/>
      <w:pPr>
        <w:tabs>
          <w:tab w:val="num" w:pos="1902"/>
        </w:tabs>
        <w:ind w:left="1902" w:hanging="360"/>
      </w:pPr>
      <w:rPr>
        <w:rFonts w:ascii="Arial" w:hAnsi="Arial" w:cs="Times New Roman" w:hint="default"/>
      </w:rPr>
    </w:lvl>
    <w:lvl w:ilvl="3" w:tplc="EE12D324">
      <w:start w:val="1"/>
      <w:numFmt w:val="decimal"/>
      <w:lvlText w:val="%4."/>
      <w:lvlJc w:val="left"/>
      <w:pPr>
        <w:tabs>
          <w:tab w:val="num" w:pos="2622"/>
        </w:tabs>
        <w:ind w:left="2622" w:hanging="360"/>
      </w:pPr>
    </w:lvl>
    <w:lvl w:ilvl="4" w:tplc="9D44AB04">
      <w:start w:val="1"/>
      <w:numFmt w:val="decimal"/>
      <w:lvlText w:val="%5."/>
      <w:lvlJc w:val="left"/>
      <w:pPr>
        <w:tabs>
          <w:tab w:val="num" w:pos="3342"/>
        </w:tabs>
        <w:ind w:left="3342" w:hanging="360"/>
      </w:pPr>
    </w:lvl>
    <w:lvl w:ilvl="5" w:tplc="6D3E587C">
      <w:start w:val="1"/>
      <w:numFmt w:val="decimal"/>
      <w:lvlText w:val="%6."/>
      <w:lvlJc w:val="left"/>
      <w:pPr>
        <w:tabs>
          <w:tab w:val="num" w:pos="4062"/>
        </w:tabs>
        <w:ind w:left="4062" w:hanging="360"/>
      </w:pPr>
    </w:lvl>
    <w:lvl w:ilvl="6" w:tplc="0CB27662">
      <w:start w:val="1"/>
      <w:numFmt w:val="decimal"/>
      <w:lvlText w:val="%7."/>
      <w:lvlJc w:val="left"/>
      <w:pPr>
        <w:tabs>
          <w:tab w:val="num" w:pos="4782"/>
        </w:tabs>
        <w:ind w:left="4782" w:hanging="360"/>
      </w:pPr>
    </w:lvl>
    <w:lvl w:ilvl="7" w:tplc="1776529C">
      <w:start w:val="1"/>
      <w:numFmt w:val="decimal"/>
      <w:lvlText w:val="%8."/>
      <w:lvlJc w:val="left"/>
      <w:pPr>
        <w:tabs>
          <w:tab w:val="num" w:pos="5502"/>
        </w:tabs>
        <w:ind w:left="5502" w:hanging="360"/>
      </w:pPr>
    </w:lvl>
    <w:lvl w:ilvl="8" w:tplc="9DF89A02">
      <w:start w:val="1"/>
      <w:numFmt w:val="decimal"/>
      <w:lvlText w:val="%9."/>
      <w:lvlJc w:val="left"/>
      <w:pPr>
        <w:tabs>
          <w:tab w:val="num" w:pos="6222"/>
        </w:tabs>
        <w:ind w:left="6222" w:hanging="360"/>
      </w:pPr>
    </w:lvl>
  </w:abstractNum>
  <w:num w:numId="1">
    <w:abstractNumId w:val="0"/>
  </w:num>
  <w:num w:numId="2">
    <w:abstractNumId w:val="12"/>
  </w:num>
  <w:num w:numId="3">
    <w:abstractNumId w:val="7"/>
  </w:num>
  <w:num w:numId="4">
    <w:abstractNumId w:val="8"/>
  </w:num>
  <w:num w:numId="5">
    <w:abstractNumId w:val="5"/>
  </w:num>
  <w:num w:numId="6">
    <w:abstractNumId w:val="10"/>
  </w:num>
  <w:num w:numId="7">
    <w:abstractNumId w:val="16"/>
  </w:num>
  <w:num w:numId="8">
    <w:abstractNumId w:val="6"/>
  </w:num>
  <w:num w:numId="9">
    <w:abstractNumId w:val="13"/>
  </w:num>
  <w:num w:numId="10">
    <w:abstractNumId w:val="14"/>
  </w:num>
  <w:num w:numId="11">
    <w:abstractNumId w:val="15"/>
  </w:num>
  <w:num w:numId="12">
    <w:abstractNumId w:val="17"/>
  </w:num>
  <w:num w:numId="13">
    <w:abstractNumId w:val="7"/>
  </w:num>
  <w:num w:numId="14">
    <w:abstractNumId w:val="19"/>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
  </w:num>
  <w:num w:numId="18">
    <w:abstractNumId w:val="11"/>
  </w:num>
  <w:num w:numId="19">
    <w:abstractNumId w:val="2"/>
  </w:num>
  <w:num w:numId="20">
    <w:abstractNumId w:val="12"/>
  </w:num>
  <w:num w:numId="21">
    <w:abstractNumId w:val="12"/>
  </w:num>
  <w:num w:numId="22">
    <w:abstractNumId w:val="12"/>
  </w:num>
  <w:num w:numId="23">
    <w:abstractNumId w:val="2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num>
  <w:num w:numId="25">
    <w:abstractNumId w:val="21"/>
  </w:num>
  <w:num w:numId="26">
    <w:abstractNumId w:val="20"/>
  </w:num>
  <w:num w:numId="27">
    <w:abstractNumId w:val="3"/>
  </w:num>
  <w:num w:numId="28">
    <w:abstractNumId w:val="22"/>
  </w:num>
  <w:num w:numId="29">
    <w:abstractNumId w:val="12"/>
  </w:num>
  <w:num w:numId="30">
    <w:abstractNumId w:val="18"/>
  </w:num>
  <w:num w:numId="3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42CA"/>
    <w:rsid w:val="0000005E"/>
    <w:rsid w:val="000006E1"/>
    <w:rsid w:val="00000F23"/>
    <w:rsid w:val="000011B3"/>
    <w:rsid w:val="000013BF"/>
    <w:rsid w:val="000014F5"/>
    <w:rsid w:val="00001F2F"/>
    <w:rsid w:val="00002A37"/>
    <w:rsid w:val="0000359D"/>
    <w:rsid w:val="000039F4"/>
    <w:rsid w:val="00003D1A"/>
    <w:rsid w:val="000054F6"/>
    <w:rsid w:val="000057B9"/>
    <w:rsid w:val="00006446"/>
    <w:rsid w:val="0000665D"/>
    <w:rsid w:val="00006834"/>
    <w:rsid w:val="00006896"/>
    <w:rsid w:val="00006A78"/>
    <w:rsid w:val="000071EC"/>
    <w:rsid w:val="00007BCF"/>
    <w:rsid w:val="00007CDC"/>
    <w:rsid w:val="0001111D"/>
    <w:rsid w:val="00011307"/>
    <w:rsid w:val="00011B28"/>
    <w:rsid w:val="000132F0"/>
    <w:rsid w:val="00013922"/>
    <w:rsid w:val="0001413B"/>
    <w:rsid w:val="000145D1"/>
    <w:rsid w:val="00014871"/>
    <w:rsid w:val="00014C04"/>
    <w:rsid w:val="000151AE"/>
    <w:rsid w:val="000159FC"/>
    <w:rsid w:val="00015D15"/>
    <w:rsid w:val="00015D72"/>
    <w:rsid w:val="00016BD3"/>
    <w:rsid w:val="000171E4"/>
    <w:rsid w:val="000179F8"/>
    <w:rsid w:val="00021525"/>
    <w:rsid w:val="000216B1"/>
    <w:rsid w:val="000217F6"/>
    <w:rsid w:val="00023B6A"/>
    <w:rsid w:val="000242E7"/>
    <w:rsid w:val="00024B97"/>
    <w:rsid w:val="0002564D"/>
    <w:rsid w:val="00025ECA"/>
    <w:rsid w:val="00026799"/>
    <w:rsid w:val="00026874"/>
    <w:rsid w:val="00030D77"/>
    <w:rsid w:val="00030F4C"/>
    <w:rsid w:val="000324EE"/>
    <w:rsid w:val="000325B8"/>
    <w:rsid w:val="000327CE"/>
    <w:rsid w:val="00032F11"/>
    <w:rsid w:val="00033C10"/>
    <w:rsid w:val="00034C15"/>
    <w:rsid w:val="00035305"/>
    <w:rsid w:val="00035535"/>
    <w:rsid w:val="000356F2"/>
    <w:rsid w:val="000368DD"/>
    <w:rsid w:val="00036BA1"/>
    <w:rsid w:val="0004072D"/>
    <w:rsid w:val="0004091F"/>
    <w:rsid w:val="0004105C"/>
    <w:rsid w:val="00041580"/>
    <w:rsid w:val="00041B06"/>
    <w:rsid w:val="00042005"/>
    <w:rsid w:val="000422E2"/>
    <w:rsid w:val="00042F22"/>
    <w:rsid w:val="000444EF"/>
    <w:rsid w:val="000446C4"/>
    <w:rsid w:val="00044C17"/>
    <w:rsid w:val="00044DF1"/>
    <w:rsid w:val="00045BC6"/>
    <w:rsid w:val="00047485"/>
    <w:rsid w:val="000504DA"/>
    <w:rsid w:val="00050880"/>
    <w:rsid w:val="00052A07"/>
    <w:rsid w:val="00053016"/>
    <w:rsid w:val="000534E3"/>
    <w:rsid w:val="0005606A"/>
    <w:rsid w:val="00056F70"/>
    <w:rsid w:val="00057117"/>
    <w:rsid w:val="00060B60"/>
    <w:rsid w:val="00060C3B"/>
    <w:rsid w:val="000616E7"/>
    <w:rsid w:val="0006487E"/>
    <w:rsid w:val="000657A9"/>
    <w:rsid w:val="0006592C"/>
    <w:rsid w:val="00065A29"/>
    <w:rsid w:val="00065E1A"/>
    <w:rsid w:val="00066B10"/>
    <w:rsid w:val="00070288"/>
    <w:rsid w:val="000715C3"/>
    <w:rsid w:val="00072197"/>
    <w:rsid w:val="00072311"/>
    <w:rsid w:val="00073026"/>
    <w:rsid w:val="00073A37"/>
    <w:rsid w:val="00074166"/>
    <w:rsid w:val="00077935"/>
    <w:rsid w:val="00077E5F"/>
    <w:rsid w:val="0008036A"/>
    <w:rsid w:val="00081AE6"/>
    <w:rsid w:val="000822CE"/>
    <w:rsid w:val="00082E9C"/>
    <w:rsid w:val="00083146"/>
    <w:rsid w:val="00083E6C"/>
    <w:rsid w:val="0008440A"/>
    <w:rsid w:val="000855EB"/>
    <w:rsid w:val="00085B52"/>
    <w:rsid w:val="00085D18"/>
    <w:rsid w:val="000866F2"/>
    <w:rsid w:val="000867AB"/>
    <w:rsid w:val="000869F3"/>
    <w:rsid w:val="00086B85"/>
    <w:rsid w:val="0009009F"/>
    <w:rsid w:val="000900B4"/>
    <w:rsid w:val="00090196"/>
    <w:rsid w:val="00091471"/>
    <w:rsid w:val="00091557"/>
    <w:rsid w:val="000924C1"/>
    <w:rsid w:val="000924F0"/>
    <w:rsid w:val="00093367"/>
    <w:rsid w:val="00093474"/>
    <w:rsid w:val="0009510F"/>
    <w:rsid w:val="00095110"/>
    <w:rsid w:val="00096FD0"/>
    <w:rsid w:val="0009751C"/>
    <w:rsid w:val="000A00F5"/>
    <w:rsid w:val="000A0B36"/>
    <w:rsid w:val="000A1869"/>
    <w:rsid w:val="000A1B7B"/>
    <w:rsid w:val="000A4318"/>
    <w:rsid w:val="000A56F2"/>
    <w:rsid w:val="000A59F0"/>
    <w:rsid w:val="000A6C98"/>
    <w:rsid w:val="000A6F98"/>
    <w:rsid w:val="000A6FF4"/>
    <w:rsid w:val="000B03BA"/>
    <w:rsid w:val="000B06BE"/>
    <w:rsid w:val="000B09D9"/>
    <w:rsid w:val="000B0FE1"/>
    <w:rsid w:val="000B16BC"/>
    <w:rsid w:val="000B1C7C"/>
    <w:rsid w:val="000B231E"/>
    <w:rsid w:val="000B2719"/>
    <w:rsid w:val="000B3A8F"/>
    <w:rsid w:val="000B3E60"/>
    <w:rsid w:val="000B3F12"/>
    <w:rsid w:val="000B4AB9"/>
    <w:rsid w:val="000B4DB9"/>
    <w:rsid w:val="000B58C3"/>
    <w:rsid w:val="000B61E9"/>
    <w:rsid w:val="000B681C"/>
    <w:rsid w:val="000B73A9"/>
    <w:rsid w:val="000B74B3"/>
    <w:rsid w:val="000B7919"/>
    <w:rsid w:val="000C0693"/>
    <w:rsid w:val="000C0B1D"/>
    <w:rsid w:val="000C165A"/>
    <w:rsid w:val="000C22D1"/>
    <w:rsid w:val="000C2E19"/>
    <w:rsid w:val="000C2F6F"/>
    <w:rsid w:val="000C4045"/>
    <w:rsid w:val="000C4E73"/>
    <w:rsid w:val="000C5118"/>
    <w:rsid w:val="000C5655"/>
    <w:rsid w:val="000C5963"/>
    <w:rsid w:val="000C5F2F"/>
    <w:rsid w:val="000C5F59"/>
    <w:rsid w:val="000C68AB"/>
    <w:rsid w:val="000C6DDC"/>
    <w:rsid w:val="000D078F"/>
    <w:rsid w:val="000D0D07"/>
    <w:rsid w:val="000D10A8"/>
    <w:rsid w:val="000D250C"/>
    <w:rsid w:val="000D33AC"/>
    <w:rsid w:val="000D3754"/>
    <w:rsid w:val="000D425E"/>
    <w:rsid w:val="000D4797"/>
    <w:rsid w:val="000D4E2E"/>
    <w:rsid w:val="000D5F5C"/>
    <w:rsid w:val="000D6243"/>
    <w:rsid w:val="000D6AB4"/>
    <w:rsid w:val="000D6B3D"/>
    <w:rsid w:val="000D754C"/>
    <w:rsid w:val="000E0527"/>
    <w:rsid w:val="000E0B83"/>
    <w:rsid w:val="000E1A3F"/>
    <w:rsid w:val="000E1E92"/>
    <w:rsid w:val="000E2A5C"/>
    <w:rsid w:val="000E3310"/>
    <w:rsid w:val="000E3561"/>
    <w:rsid w:val="000E57A4"/>
    <w:rsid w:val="000E70BB"/>
    <w:rsid w:val="000F06D6"/>
    <w:rsid w:val="000F0EB1"/>
    <w:rsid w:val="000F1106"/>
    <w:rsid w:val="000F11C6"/>
    <w:rsid w:val="000F12F5"/>
    <w:rsid w:val="000F168A"/>
    <w:rsid w:val="000F27D1"/>
    <w:rsid w:val="000F3BE9"/>
    <w:rsid w:val="000F3F6C"/>
    <w:rsid w:val="000F4391"/>
    <w:rsid w:val="000F488C"/>
    <w:rsid w:val="000F4F2C"/>
    <w:rsid w:val="000F673F"/>
    <w:rsid w:val="000F6DF3"/>
    <w:rsid w:val="000F762E"/>
    <w:rsid w:val="001005FF"/>
    <w:rsid w:val="0010080A"/>
    <w:rsid w:val="001017F8"/>
    <w:rsid w:val="00101F9B"/>
    <w:rsid w:val="00102B63"/>
    <w:rsid w:val="001033BA"/>
    <w:rsid w:val="00103DA8"/>
    <w:rsid w:val="00105155"/>
    <w:rsid w:val="001059BF"/>
    <w:rsid w:val="001060C7"/>
    <w:rsid w:val="001062FB"/>
    <w:rsid w:val="001063E6"/>
    <w:rsid w:val="00106815"/>
    <w:rsid w:val="00106B9C"/>
    <w:rsid w:val="00107398"/>
    <w:rsid w:val="0010751A"/>
    <w:rsid w:val="00110D04"/>
    <w:rsid w:val="00111893"/>
    <w:rsid w:val="00113CF4"/>
    <w:rsid w:val="00114523"/>
    <w:rsid w:val="001147B2"/>
    <w:rsid w:val="001153EA"/>
    <w:rsid w:val="00115643"/>
    <w:rsid w:val="00116599"/>
    <w:rsid w:val="00116765"/>
    <w:rsid w:val="0011684E"/>
    <w:rsid w:val="001171DF"/>
    <w:rsid w:val="00120530"/>
    <w:rsid w:val="001219F5"/>
    <w:rsid w:val="00121A20"/>
    <w:rsid w:val="001232D3"/>
    <w:rsid w:val="0012377F"/>
    <w:rsid w:val="00124314"/>
    <w:rsid w:val="00124C04"/>
    <w:rsid w:val="00125492"/>
    <w:rsid w:val="00126B4A"/>
    <w:rsid w:val="001277D5"/>
    <w:rsid w:val="001317D0"/>
    <w:rsid w:val="001319F2"/>
    <w:rsid w:val="00132FD0"/>
    <w:rsid w:val="001344C0"/>
    <w:rsid w:val="001346FA"/>
    <w:rsid w:val="00135252"/>
    <w:rsid w:val="00135D20"/>
    <w:rsid w:val="00136FF6"/>
    <w:rsid w:val="0013757D"/>
    <w:rsid w:val="00137AB5"/>
    <w:rsid w:val="00137F0B"/>
    <w:rsid w:val="00140099"/>
    <w:rsid w:val="001413B5"/>
    <w:rsid w:val="001420B6"/>
    <w:rsid w:val="00143339"/>
    <w:rsid w:val="0014345C"/>
    <w:rsid w:val="00146709"/>
    <w:rsid w:val="00146BBD"/>
    <w:rsid w:val="00151B23"/>
    <w:rsid w:val="00151E23"/>
    <w:rsid w:val="00151FB1"/>
    <w:rsid w:val="001526E0"/>
    <w:rsid w:val="001545BE"/>
    <w:rsid w:val="00154A47"/>
    <w:rsid w:val="001551B5"/>
    <w:rsid w:val="001567CF"/>
    <w:rsid w:val="0016011A"/>
    <w:rsid w:val="00161CB0"/>
    <w:rsid w:val="001647DF"/>
    <w:rsid w:val="001659C1"/>
    <w:rsid w:val="00165BAC"/>
    <w:rsid w:val="00165C50"/>
    <w:rsid w:val="0016661A"/>
    <w:rsid w:val="00167B29"/>
    <w:rsid w:val="00171A59"/>
    <w:rsid w:val="00171B6F"/>
    <w:rsid w:val="00171F14"/>
    <w:rsid w:val="00171F20"/>
    <w:rsid w:val="00172BC2"/>
    <w:rsid w:val="00173A8E"/>
    <w:rsid w:val="001755D5"/>
    <w:rsid w:val="00175622"/>
    <w:rsid w:val="00176014"/>
    <w:rsid w:val="00177567"/>
    <w:rsid w:val="00177795"/>
    <w:rsid w:val="00180F96"/>
    <w:rsid w:val="0018118F"/>
    <w:rsid w:val="0018143F"/>
    <w:rsid w:val="0018188C"/>
    <w:rsid w:val="00183187"/>
    <w:rsid w:val="0018409E"/>
    <w:rsid w:val="001842E4"/>
    <w:rsid w:val="00185A79"/>
    <w:rsid w:val="00190A37"/>
    <w:rsid w:val="00190A9E"/>
    <w:rsid w:val="00190AC1"/>
    <w:rsid w:val="00191BB0"/>
    <w:rsid w:val="00192BB9"/>
    <w:rsid w:val="0019323D"/>
    <w:rsid w:val="0019341A"/>
    <w:rsid w:val="00195874"/>
    <w:rsid w:val="0019735C"/>
    <w:rsid w:val="00197DF9"/>
    <w:rsid w:val="001A186F"/>
    <w:rsid w:val="001A1982"/>
    <w:rsid w:val="001A1987"/>
    <w:rsid w:val="001A1DE5"/>
    <w:rsid w:val="001A2564"/>
    <w:rsid w:val="001A2F9E"/>
    <w:rsid w:val="001A3098"/>
    <w:rsid w:val="001A3191"/>
    <w:rsid w:val="001A5588"/>
    <w:rsid w:val="001A6173"/>
    <w:rsid w:val="001A68E4"/>
    <w:rsid w:val="001A6CBA"/>
    <w:rsid w:val="001B0D97"/>
    <w:rsid w:val="001B18CC"/>
    <w:rsid w:val="001B1DEF"/>
    <w:rsid w:val="001B22BC"/>
    <w:rsid w:val="001B3AB0"/>
    <w:rsid w:val="001B47ED"/>
    <w:rsid w:val="001B5A5D"/>
    <w:rsid w:val="001B631C"/>
    <w:rsid w:val="001B652B"/>
    <w:rsid w:val="001C1AC4"/>
    <w:rsid w:val="001C1CE5"/>
    <w:rsid w:val="001C20D6"/>
    <w:rsid w:val="001C3D2A"/>
    <w:rsid w:val="001C3F02"/>
    <w:rsid w:val="001C5752"/>
    <w:rsid w:val="001C5856"/>
    <w:rsid w:val="001C6436"/>
    <w:rsid w:val="001C6BD7"/>
    <w:rsid w:val="001C7564"/>
    <w:rsid w:val="001D024B"/>
    <w:rsid w:val="001D0B92"/>
    <w:rsid w:val="001D45D9"/>
    <w:rsid w:val="001D51BA"/>
    <w:rsid w:val="001D552B"/>
    <w:rsid w:val="001D6342"/>
    <w:rsid w:val="001D6D53"/>
    <w:rsid w:val="001D7F92"/>
    <w:rsid w:val="001E0A46"/>
    <w:rsid w:val="001E117F"/>
    <w:rsid w:val="001E2347"/>
    <w:rsid w:val="001E3840"/>
    <w:rsid w:val="001E39D3"/>
    <w:rsid w:val="001E3E7A"/>
    <w:rsid w:val="001E45AF"/>
    <w:rsid w:val="001E4702"/>
    <w:rsid w:val="001E4AE4"/>
    <w:rsid w:val="001E58E2"/>
    <w:rsid w:val="001E6C81"/>
    <w:rsid w:val="001E7655"/>
    <w:rsid w:val="001E7AED"/>
    <w:rsid w:val="001F0ACD"/>
    <w:rsid w:val="001F0EB7"/>
    <w:rsid w:val="001F0F4E"/>
    <w:rsid w:val="001F2504"/>
    <w:rsid w:val="001F3916"/>
    <w:rsid w:val="001F3D6D"/>
    <w:rsid w:val="001F406A"/>
    <w:rsid w:val="001F54C5"/>
    <w:rsid w:val="001F5823"/>
    <w:rsid w:val="001F5987"/>
    <w:rsid w:val="001F662C"/>
    <w:rsid w:val="001F6D7D"/>
    <w:rsid w:val="001F7074"/>
    <w:rsid w:val="001F738D"/>
    <w:rsid w:val="001F7D01"/>
    <w:rsid w:val="00200490"/>
    <w:rsid w:val="00201F3A"/>
    <w:rsid w:val="00203100"/>
    <w:rsid w:val="00203AEA"/>
    <w:rsid w:val="00203F96"/>
    <w:rsid w:val="00204DA0"/>
    <w:rsid w:val="00205721"/>
    <w:rsid w:val="00206963"/>
    <w:rsid w:val="002069B2"/>
    <w:rsid w:val="00207FA3"/>
    <w:rsid w:val="0021058F"/>
    <w:rsid w:val="002105B5"/>
    <w:rsid w:val="00210A92"/>
    <w:rsid w:val="00211177"/>
    <w:rsid w:val="002123F7"/>
    <w:rsid w:val="00212E79"/>
    <w:rsid w:val="00214DA8"/>
    <w:rsid w:val="00214F37"/>
    <w:rsid w:val="00215093"/>
    <w:rsid w:val="00215423"/>
    <w:rsid w:val="002158FA"/>
    <w:rsid w:val="00220600"/>
    <w:rsid w:val="00221616"/>
    <w:rsid w:val="00221901"/>
    <w:rsid w:val="00221C1F"/>
    <w:rsid w:val="002224DB"/>
    <w:rsid w:val="00223282"/>
    <w:rsid w:val="00223FCB"/>
    <w:rsid w:val="002240CA"/>
    <w:rsid w:val="00224111"/>
    <w:rsid w:val="002249AE"/>
    <w:rsid w:val="00224F53"/>
    <w:rsid w:val="002252C3"/>
    <w:rsid w:val="00225C54"/>
    <w:rsid w:val="00225F33"/>
    <w:rsid w:val="00226987"/>
    <w:rsid w:val="00226B10"/>
    <w:rsid w:val="00226D43"/>
    <w:rsid w:val="00230765"/>
    <w:rsid w:val="0023177F"/>
    <w:rsid w:val="002319E4"/>
    <w:rsid w:val="002347E9"/>
    <w:rsid w:val="00235632"/>
    <w:rsid w:val="00235872"/>
    <w:rsid w:val="00235B4E"/>
    <w:rsid w:val="00235E4B"/>
    <w:rsid w:val="00236215"/>
    <w:rsid w:val="0023636A"/>
    <w:rsid w:val="002374DE"/>
    <w:rsid w:val="00237789"/>
    <w:rsid w:val="002377B9"/>
    <w:rsid w:val="00237BC8"/>
    <w:rsid w:val="00240996"/>
    <w:rsid w:val="00240A66"/>
    <w:rsid w:val="00241559"/>
    <w:rsid w:val="002430F2"/>
    <w:rsid w:val="002435B3"/>
    <w:rsid w:val="00243EDE"/>
    <w:rsid w:val="00244B32"/>
    <w:rsid w:val="002451D4"/>
    <w:rsid w:val="002458EB"/>
    <w:rsid w:val="00246BD5"/>
    <w:rsid w:val="00246FFC"/>
    <w:rsid w:val="002500C8"/>
    <w:rsid w:val="002502E8"/>
    <w:rsid w:val="0025075F"/>
    <w:rsid w:val="0025089A"/>
    <w:rsid w:val="00251321"/>
    <w:rsid w:val="00251756"/>
    <w:rsid w:val="00251B77"/>
    <w:rsid w:val="002534EF"/>
    <w:rsid w:val="00254538"/>
    <w:rsid w:val="002556AD"/>
    <w:rsid w:val="00256492"/>
    <w:rsid w:val="00256A2E"/>
    <w:rsid w:val="00256F10"/>
    <w:rsid w:val="00257429"/>
    <w:rsid w:val="00257543"/>
    <w:rsid w:val="00257BF5"/>
    <w:rsid w:val="002617E7"/>
    <w:rsid w:val="00263718"/>
    <w:rsid w:val="00264228"/>
    <w:rsid w:val="00264334"/>
    <w:rsid w:val="0026473E"/>
    <w:rsid w:val="00264E85"/>
    <w:rsid w:val="00264FDB"/>
    <w:rsid w:val="002655B5"/>
    <w:rsid w:val="00266214"/>
    <w:rsid w:val="00266F0A"/>
    <w:rsid w:val="00267849"/>
    <w:rsid w:val="00267C83"/>
    <w:rsid w:val="00270157"/>
    <w:rsid w:val="0027144F"/>
    <w:rsid w:val="00271460"/>
    <w:rsid w:val="00271F3A"/>
    <w:rsid w:val="00272660"/>
    <w:rsid w:val="00272C6A"/>
    <w:rsid w:val="00273278"/>
    <w:rsid w:val="0027378F"/>
    <w:rsid w:val="002737F4"/>
    <w:rsid w:val="00273DBB"/>
    <w:rsid w:val="00275EA2"/>
    <w:rsid w:val="00276036"/>
    <w:rsid w:val="00276622"/>
    <w:rsid w:val="0027759A"/>
    <w:rsid w:val="00277634"/>
    <w:rsid w:val="002804BF"/>
    <w:rsid w:val="002805F5"/>
    <w:rsid w:val="00280751"/>
    <w:rsid w:val="002809CF"/>
    <w:rsid w:val="0028138C"/>
    <w:rsid w:val="002814F7"/>
    <w:rsid w:val="0028280A"/>
    <w:rsid w:val="00283C33"/>
    <w:rsid w:val="00284B33"/>
    <w:rsid w:val="0028576F"/>
    <w:rsid w:val="00285979"/>
    <w:rsid w:val="00286ACD"/>
    <w:rsid w:val="00287838"/>
    <w:rsid w:val="00287F35"/>
    <w:rsid w:val="002907B5"/>
    <w:rsid w:val="00291B9C"/>
    <w:rsid w:val="00292D69"/>
    <w:rsid w:val="00292EB7"/>
    <w:rsid w:val="0029320C"/>
    <w:rsid w:val="00296227"/>
    <w:rsid w:val="00296F44"/>
    <w:rsid w:val="0029777D"/>
    <w:rsid w:val="002A055E"/>
    <w:rsid w:val="002A0A3F"/>
    <w:rsid w:val="002A1D4E"/>
    <w:rsid w:val="002A25C9"/>
    <w:rsid w:val="002A2869"/>
    <w:rsid w:val="002A2CC4"/>
    <w:rsid w:val="002A470A"/>
    <w:rsid w:val="002A4A4E"/>
    <w:rsid w:val="002A5E96"/>
    <w:rsid w:val="002A6D8C"/>
    <w:rsid w:val="002A71B9"/>
    <w:rsid w:val="002A7E57"/>
    <w:rsid w:val="002B0101"/>
    <w:rsid w:val="002B0B12"/>
    <w:rsid w:val="002B147E"/>
    <w:rsid w:val="002B24D6"/>
    <w:rsid w:val="002B3EF0"/>
    <w:rsid w:val="002B45E3"/>
    <w:rsid w:val="002B5A28"/>
    <w:rsid w:val="002B678B"/>
    <w:rsid w:val="002B69AA"/>
    <w:rsid w:val="002B725F"/>
    <w:rsid w:val="002B7699"/>
    <w:rsid w:val="002C083D"/>
    <w:rsid w:val="002C2948"/>
    <w:rsid w:val="002C2FAE"/>
    <w:rsid w:val="002C41E6"/>
    <w:rsid w:val="002C442A"/>
    <w:rsid w:val="002C5956"/>
    <w:rsid w:val="002D071A"/>
    <w:rsid w:val="002D1D29"/>
    <w:rsid w:val="002D25FF"/>
    <w:rsid w:val="002D2B06"/>
    <w:rsid w:val="002D2D3A"/>
    <w:rsid w:val="002D34B2"/>
    <w:rsid w:val="002D3A6B"/>
    <w:rsid w:val="002D5677"/>
    <w:rsid w:val="002D7637"/>
    <w:rsid w:val="002E0053"/>
    <w:rsid w:val="002E17F2"/>
    <w:rsid w:val="002E2026"/>
    <w:rsid w:val="002E237E"/>
    <w:rsid w:val="002E2C85"/>
    <w:rsid w:val="002E3590"/>
    <w:rsid w:val="002E4FE4"/>
    <w:rsid w:val="002E52C0"/>
    <w:rsid w:val="002E581E"/>
    <w:rsid w:val="002E6F17"/>
    <w:rsid w:val="002E703B"/>
    <w:rsid w:val="002E7CAE"/>
    <w:rsid w:val="002E7F6D"/>
    <w:rsid w:val="002F02B8"/>
    <w:rsid w:val="002F0DF1"/>
    <w:rsid w:val="002F209C"/>
    <w:rsid w:val="002F2771"/>
    <w:rsid w:val="002F37A9"/>
    <w:rsid w:val="002F4EF9"/>
    <w:rsid w:val="002F5FC2"/>
    <w:rsid w:val="00300098"/>
    <w:rsid w:val="0030074F"/>
    <w:rsid w:val="00300988"/>
    <w:rsid w:val="00300B89"/>
    <w:rsid w:val="00301CE6"/>
    <w:rsid w:val="0030256B"/>
    <w:rsid w:val="00302B85"/>
    <w:rsid w:val="00302CE1"/>
    <w:rsid w:val="00303FBB"/>
    <w:rsid w:val="00304A3E"/>
    <w:rsid w:val="0030501F"/>
    <w:rsid w:val="003062E8"/>
    <w:rsid w:val="00306A6C"/>
    <w:rsid w:val="00306FEC"/>
    <w:rsid w:val="00307220"/>
    <w:rsid w:val="00307387"/>
    <w:rsid w:val="00307BA1"/>
    <w:rsid w:val="00310B1D"/>
    <w:rsid w:val="0031146F"/>
    <w:rsid w:val="003116BE"/>
    <w:rsid w:val="00311702"/>
    <w:rsid w:val="00311B6C"/>
    <w:rsid w:val="00311C19"/>
    <w:rsid w:val="00311E82"/>
    <w:rsid w:val="0031341D"/>
    <w:rsid w:val="00313A66"/>
    <w:rsid w:val="00313FD6"/>
    <w:rsid w:val="0031437E"/>
    <w:rsid w:val="003143BD"/>
    <w:rsid w:val="0031468B"/>
    <w:rsid w:val="00314A0B"/>
    <w:rsid w:val="003152EA"/>
    <w:rsid w:val="00316777"/>
    <w:rsid w:val="00317A53"/>
    <w:rsid w:val="00317F90"/>
    <w:rsid w:val="003203ED"/>
    <w:rsid w:val="00320F0D"/>
    <w:rsid w:val="00322C9F"/>
    <w:rsid w:val="00322D0F"/>
    <w:rsid w:val="0032368F"/>
    <w:rsid w:val="00324B15"/>
    <w:rsid w:val="00324C7D"/>
    <w:rsid w:val="00324D23"/>
    <w:rsid w:val="00327F80"/>
    <w:rsid w:val="00331751"/>
    <w:rsid w:val="00331772"/>
    <w:rsid w:val="00334579"/>
    <w:rsid w:val="003350B3"/>
    <w:rsid w:val="0033554B"/>
    <w:rsid w:val="00335858"/>
    <w:rsid w:val="00336212"/>
    <w:rsid w:val="00336969"/>
    <w:rsid w:val="00336BDA"/>
    <w:rsid w:val="003410BE"/>
    <w:rsid w:val="0034189E"/>
    <w:rsid w:val="003429E6"/>
    <w:rsid w:val="00342BD7"/>
    <w:rsid w:val="00342F62"/>
    <w:rsid w:val="003433B5"/>
    <w:rsid w:val="003433EA"/>
    <w:rsid w:val="00343A07"/>
    <w:rsid w:val="00343F4A"/>
    <w:rsid w:val="00343F4C"/>
    <w:rsid w:val="00345645"/>
    <w:rsid w:val="00346DB5"/>
    <w:rsid w:val="003477B1"/>
    <w:rsid w:val="00347B60"/>
    <w:rsid w:val="003503B6"/>
    <w:rsid w:val="003512D0"/>
    <w:rsid w:val="003545BB"/>
    <w:rsid w:val="0035491B"/>
    <w:rsid w:val="00354E21"/>
    <w:rsid w:val="00355E58"/>
    <w:rsid w:val="003564F8"/>
    <w:rsid w:val="003569BF"/>
    <w:rsid w:val="00357380"/>
    <w:rsid w:val="00357847"/>
    <w:rsid w:val="003602D9"/>
    <w:rsid w:val="003604CE"/>
    <w:rsid w:val="00361CAD"/>
    <w:rsid w:val="00363AF0"/>
    <w:rsid w:val="0036412E"/>
    <w:rsid w:val="00364CED"/>
    <w:rsid w:val="00365301"/>
    <w:rsid w:val="003671E6"/>
    <w:rsid w:val="00370E47"/>
    <w:rsid w:val="00371EE3"/>
    <w:rsid w:val="0037256C"/>
    <w:rsid w:val="0037336B"/>
    <w:rsid w:val="00373A8A"/>
    <w:rsid w:val="003742AC"/>
    <w:rsid w:val="003753BC"/>
    <w:rsid w:val="00375893"/>
    <w:rsid w:val="00376382"/>
    <w:rsid w:val="00377C04"/>
    <w:rsid w:val="00377CE1"/>
    <w:rsid w:val="00382781"/>
    <w:rsid w:val="00382E3D"/>
    <w:rsid w:val="003831D1"/>
    <w:rsid w:val="003832D1"/>
    <w:rsid w:val="00384857"/>
    <w:rsid w:val="00384EF4"/>
    <w:rsid w:val="00385BF0"/>
    <w:rsid w:val="003862F2"/>
    <w:rsid w:val="0038733B"/>
    <w:rsid w:val="00387DBD"/>
    <w:rsid w:val="00387F00"/>
    <w:rsid w:val="00390543"/>
    <w:rsid w:val="0039073F"/>
    <w:rsid w:val="003938BA"/>
    <w:rsid w:val="003939FF"/>
    <w:rsid w:val="00393B0A"/>
    <w:rsid w:val="003946AE"/>
    <w:rsid w:val="003960AE"/>
    <w:rsid w:val="003972C6"/>
    <w:rsid w:val="00397608"/>
    <w:rsid w:val="00397C90"/>
    <w:rsid w:val="003A2223"/>
    <w:rsid w:val="003A235D"/>
    <w:rsid w:val="003A2A0F"/>
    <w:rsid w:val="003A3106"/>
    <w:rsid w:val="003A405D"/>
    <w:rsid w:val="003A4064"/>
    <w:rsid w:val="003A42F1"/>
    <w:rsid w:val="003A45A1"/>
    <w:rsid w:val="003A4FE6"/>
    <w:rsid w:val="003A51D3"/>
    <w:rsid w:val="003A5B0A"/>
    <w:rsid w:val="003A6BAC"/>
    <w:rsid w:val="003A7EF3"/>
    <w:rsid w:val="003B159C"/>
    <w:rsid w:val="003B2171"/>
    <w:rsid w:val="003B369F"/>
    <w:rsid w:val="003B36A3"/>
    <w:rsid w:val="003B38C9"/>
    <w:rsid w:val="003B3F0A"/>
    <w:rsid w:val="003B460B"/>
    <w:rsid w:val="003B47D7"/>
    <w:rsid w:val="003B4B22"/>
    <w:rsid w:val="003B5561"/>
    <w:rsid w:val="003B5EE5"/>
    <w:rsid w:val="003B7AC3"/>
    <w:rsid w:val="003B7FE5"/>
    <w:rsid w:val="003C06DC"/>
    <w:rsid w:val="003C11C8"/>
    <w:rsid w:val="003C13DF"/>
    <w:rsid w:val="003C2050"/>
    <w:rsid w:val="003C2702"/>
    <w:rsid w:val="003C5C28"/>
    <w:rsid w:val="003C5D23"/>
    <w:rsid w:val="003C7806"/>
    <w:rsid w:val="003C798E"/>
    <w:rsid w:val="003D0ACF"/>
    <w:rsid w:val="003D109F"/>
    <w:rsid w:val="003D1235"/>
    <w:rsid w:val="003D1CA8"/>
    <w:rsid w:val="003D2478"/>
    <w:rsid w:val="003D2F87"/>
    <w:rsid w:val="003D3144"/>
    <w:rsid w:val="003D38B5"/>
    <w:rsid w:val="003D3C45"/>
    <w:rsid w:val="003D3DC1"/>
    <w:rsid w:val="003D412E"/>
    <w:rsid w:val="003D4987"/>
    <w:rsid w:val="003D5B1F"/>
    <w:rsid w:val="003D690F"/>
    <w:rsid w:val="003D6EFC"/>
    <w:rsid w:val="003D7BD8"/>
    <w:rsid w:val="003E0461"/>
    <w:rsid w:val="003E05F9"/>
    <w:rsid w:val="003E15FA"/>
    <w:rsid w:val="003E1D7B"/>
    <w:rsid w:val="003E1F98"/>
    <w:rsid w:val="003E2849"/>
    <w:rsid w:val="003E3A71"/>
    <w:rsid w:val="003E55E4"/>
    <w:rsid w:val="003E5754"/>
    <w:rsid w:val="003E5A8F"/>
    <w:rsid w:val="003E6D4A"/>
    <w:rsid w:val="003E6F46"/>
    <w:rsid w:val="003E74E3"/>
    <w:rsid w:val="003E7C85"/>
    <w:rsid w:val="003F05C7"/>
    <w:rsid w:val="003F1689"/>
    <w:rsid w:val="003F1B04"/>
    <w:rsid w:val="003F1C9C"/>
    <w:rsid w:val="003F2CD4"/>
    <w:rsid w:val="003F3180"/>
    <w:rsid w:val="003F320B"/>
    <w:rsid w:val="003F32E8"/>
    <w:rsid w:val="003F3E3B"/>
    <w:rsid w:val="003F46AC"/>
    <w:rsid w:val="003F5F2B"/>
    <w:rsid w:val="003F6BBE"/>
    <w:rsid w:val="004000E8"/>
    <w:rsid w:val="00400166"/>
    <w:rsid w:val="004016EE"/>
    <w:rsid w:val="00402E2B"/>
    <w:rsid w:val="00403062"/>
    <w:rsid w:val="00404ADB"/>
    <w:rsid w:val="00404B8B"/>
    <w:rsid w:val="00404FDD"/>
    <w:rsid w:val="0040512B"/>
    <w:rsid w:val="00405CA5"/>
    <w:rsid w:val="00406AC1"/>
    <w:rsid w:val="00406D34"/>
    <w:rsid w:val="00407120"/>
    <w:rsid w:val="00407526"/>
    <w:rsid w:val="00407CD3"/>
    <w:rsid w:val="00410134"/>
    <w:rsid w:val="004104A0"/>
    <w:rsid w:val="00410B72"/>
    <w:rsid w:val="00410F18"/>
    <w:rsid w:val="00411741"/>
    <w:rsid w:val="004117EB"/>
    <w:rsid w:val="0041263E"/>
    <w:rsid w:val="00412A80"/>
    <w:rsid w:val="00412A99"/>
    <w:rsid w:val="0041395F"/>
    <w:rsid w:val="00413AAC"/>
    <w:rsid w:val="0041491D"/>
    <w:rsid w:val="00415661"/>
    <w:rsid w:val="004159E6"/>
    <w:rsid w:val="0041641F"/>
    <w:rsid w:val="0041704A"/>
    <w:rsid w:val="00417E3C"/>
    <w:rsid w:val="00417F02"/>
    <w:rsid w:val="00420205"/>
    <w:rsid w:val="004204B6"/>
    <w:rsid w:val="00420CA3"/>
    <w:rsid w:val="00421105"/>
    <w:rsid w:val="0042198C"/>
    <w:rsid w:val="00422514"/>
    <w:rsid w:val="00422C19"/>
    <w:rsid w:val="00424144"/>
    <w:rsid w:val="004242F4"/>
    <w:rsid w:val="004247E4"/>
    <w:rsid w:val="00425435"/>
    <w:rsid w:val="004257C9"/>
    <w:rsid w:val="00427248"/>
    <w:rsid w:val="00427BC8"/>
    <w:rsid w:val="00430821"/>
    <w:rsid w:val="004312AD"/>
    <w:rsid w:val="0043271E"/>
    <w:rsid w:val="00432896"/>
    <w:rsid w:val="00433105"/>
    <w:rsid w:val="0043320B"/>
    <w:rsid w:val="00437447"/>
    <w:rsid w:val="00440773"/>
    <w:rsid w:val="00440FA6"/>
    <w:rsid w:val="00441079"/>
    <w:rsid w:val="00441926"/>
    <w:rsid w:val="00441A92"/>
    <w:rsid w:val="00442CCC"/>
    <w:rsid w:val="00442E1F"/>
    <w:rsid w:val="00444B3A"/>
    <w:rsid w:val="00444F56"/>
    <w:rsid w:val="00446488"/>
    <w:rsid w:val="00446A01"/>
    <w:rsid w:val="00446DD3"/>
    <w:rsid w:val="004517AA"/>
    <w:rsid w:val="00452CAC"/>
    <w:rsid w:val="00452F31"/>
    <w:rsid w:val="00454290"/>
    <w:rsid w:val="00456091"/>
    <w:rsid w:val="0045624C"/>
    <w:rsid w:val="00457565"/>
    <w:rsid w:val="00457890"/>
    <w:rsid w:val="00457B71"/>
    <w:rsid w:val="00457EF9"/>
    <w:rsid w:val="00460378"/>
    <w:rsid w:val="00460418"/>
    <w:rsid w:val="00461564"/>
    <w:rsid w:val="00463260"/>
    <w:rsid w:val="0046481B"/>
    <w:rsid w:val="0046490E"/>
    <w:rsid w:val="0046493D"/>
    <w:rsid w:val="00464E3C"/>
    <w:rsid w:val="004669E2"/>
    <w:rsid w:val="00466A06"/>
    <w:rsid w:val="00466DF3"/>
    <w:rsid w:val="00467811"/>
    <w:rsid w:val="0047038A"/>
    <w:rsid w:val="00470C31"/>
    <w:rsid w:val="0047115D"/>
    <w:rsid w:val="00472E58"/>
    <w:rsid w:val="004734D0"/>
    <w:rsid w:val="00474708"/>
    <w:rsid w:val="0047518F"/>
    <w:rsid w:val="0047556B"/>
    <w:rsid w:val="004758D3"/>
    <w:rsid w:val="00475DD3"/>
    <w:rsid w:val="00477768"/>
    <w:rsid w:val="0048117E"/>
    <w:rsid w:val="0048428F"/>
    <w:rsid w:val="00484350"/>
    <w:rsid w:val="00484898"/>
    <w:rsid w:val="0048541B"/>
    <w:rsid w:val="00485620"/>
    <w:rsid w:val="0048598E"/>
    <w:rsid w:val="00490D63"/>
    <w:rsid w:val="00490E6F"/>
    <w:rsid w:val="00491696"/>
    <w:rsid w:val="00491A20"/>
    <w:rsid w:val="0049253A"/>
    <w:rsid w:val="00492BC5"/>
    <w:rsid w:val="00492F21"/>
    <w:rsid w:val="00493C25"/>
    <w:rsid w:val="00494372"/>
    <w:rsid w:val="00494885"/>
    <w:rsid w:val="00495079"/>
    <w:rsid w:val="004964F1"/>
    <w:rsid w:val="00496B3A"/>
    <w:rsid w:val="004975EE"/>
    <w:rsid w:val="0049785C"/>
    <w:rsid w:val="004A16BC"/>
    <w:rsid w:val="004A1E52"/>
    <w:rsid w:val="004A2675"/>
    <w:rsid w:val="004A2AD4"/>
    <w:rsid w:val="004A2B94"/>
    <w:rsid w:val="004A38F3"/>
    <w:rsid w:val="004A3DD8"/>
    <w:rsid w:val="004A411D"/>
    <w:rsid w:val="004A4ABA"/>
    <w:rsid w:val="004A51FE"/>
    <w:rsid w:val="004B147F"/>
    <w:rsid w:val="004B15A7"/>
    <w:rsid w:val="004B270B"/>
    <w:rsid w:val="004B2E56"/>
    <w:rsid w:val="004B3B30"/>
    <w:rsid w:val="004B40DF"/>
    <w:rsid w:val="004B42D0"/>
    <w:rsid w:val="004B5383"/>
    <w:rsid w:val="004B6B90"/>
    <w:rsid w:val="004B7C0C"/>
    <w:rsid w:val="004C143C"/>
    <w:rsid w:val="004C1B90"/>
    <w:rsid w:val="004C213F"/>
    <w:rsid w:val="004C278F"/>
    <w:rsid w:val="004C2970"/>
    <w:rsid w:val="004C2A8E"/>
    <w:rsid w:val="004C2B58"/>
    <w:rsid w:val="004C2DB9"/>
    <w:rsid w:val="004C3898"/>
    <w:rsid w:val="004C3A40"/>
    <w:rsid w:val="004C3DFE"/>
    <w:rsid w:val="004C478B"/>
    <w:rsid w:val="004C551C"/>
    <w:rsid w:val="004C6EFE"/>
    <w:rsid w:val="004C78E6"/>
    <w:rsid w:val="004C7B0D"/>
    <w:rsid w:val="004D20C5"/>
    <w:rsid w:val="004D23F5"/>
    <w:rsid w:val="004D2BFA"/>
    <w:rsid w:val="004D2C59"/>
    <w:rsid w:val="004D3499"/>
    <w:rsid w:val="004D36B1"/>
    <w:rsid w:val="004D39F1"/>
    <w:rsid w:val="004D4655"/>
    <w:rsid w:val="004D736C"/>
    <w:rsid w:val="004D7EBD"/>
    <w:rsid w:val="004E0BAA"/>
    <w:rsid w:val="004E12B1"/>
    <w:rsid w:val="004E2680"/>
    <w:rsid w:val="004E28F9"/>
    <w:rsid w:val="004E462E"/>
    <w:rsid w:val="004E468D"/>
    <w:rsid w:val="004E4D24"/>
    <w:rsid w:val="004E54EF"/>
    <w:rsid w:val="004E56DC"/>
    <w:rsid w:val="004E5E71"/>
    <w:rsid w:val="004E6CB5"/>
    <w:rsid w:val="004E76F4"/>
    <w:rsid w:val="004E7D27"/>
    <w:rsid w:val="004F0B4E"/>
    <w:rsid w:val="004F0B6C"/>
    <w:rsid w:val="004F2078"/>
    <w:rsid w:val="004F2271"/>
    <w:rsid w:val="004F31A4"/>
    <w:rsid w:val="004F32E8"/>
    <w:rsid w:val="004F3B49"/>
    <w:rsid w:val="004F4DA3"/>
    <w:rsid w:val="004F4F5A"/>
    <w:rsid w:val="004F73B4"/>
    <w:rsid w:val="00501E71"/>
    <w:rsid w:val="00502445"/>
    <w:rsid w:val="00502AFA"/>
    <w:rsid w:val="00504E61"/>
    <w:rsid w:val="00506557"/>
    <w:rsid w:val="0050677A"/>
    <w:rsid w:val="005107EB"/>
    <w:rsid w:val="005108D8"/>
    <w:rsid w:val="005114A3"/>
    <w:rsid w:val="00511509"/>
    <w:rsid w:val="005116F9"/>
    <w:rsid w:val="00511A2B"/>
    <w:rsid w:val="00512144"/>
    <w:rsid w:val="005153A7"/>
    <w:rsid w:val="005160A9"/>
    <w:rsid w:val="00517B55"/>
    <w:rsid w:val="00521359"/>
    <w:rsid w:val="005219CF"/>
    <w:rsid w:val="00521EAE"/>
    <w:rsid w:val="00522838"/>
    <w:rsid w:val="005235CD"/>
    <w:rsid w:val="005246AA"/>
    <w:rsid w:val="00527557"/>
    <w:rsid w:val="00527560"/>
    <w:rsid w:val="0052758E"/>
    <w:rsid w:val="00527DE9"/>
    <w:rsid w:val="00530CB1"/>
    <w:rsid w:val="005343A8"/>
    <w:rsid w:val="0053481E"/>
    <w:rsid w:val="00534B59"/>
    <w:rsid w:val="00536759"/>
    <w:rsid w:val="0053761D"/>
    <w:rsid w:val="00537798"/>
    <w:rsid w:val="00537C62"/>
    <w:rsid w:val="00540D22"/>
    <w:rsid w:val="00541645"/>
    <w:rsid w:val="005435CB"/>
    <w:rsid w:val="00543EED"/>
    <w:rsid w:val="00543FA7"/>
    <w:rsid w:val="00545472"/>
    <w:rsid w:val="005455EC"/>
    <w:rsid w:val="005459E9"/>
    <w:rsid w:val="005462E0"/>
    <w:rsid w:val="00546970"/>
    <w:rsid w:val="0054699C"/>
    <w:rsid w:val="00546D62"/>
    <w:rsid w:val="005474B8"/>
    <w:rsid w:val="005506DE"/>
    <w:rsid w:val="00550D56"/>
    <w:rsid w:val="00553628"/>
    <w:rsid w:val="00554E19"/>
    <w:rsid w:val="005559AA"/>
    <w:rsid w:val="00557196"/>
    <w:rsid w:val="00560445"/>
    <w:rsid w:val="0056121F"/>
    <w:rsid w:val="00561936"/>
    <w:rsid w:val="005628D4"/>
    <w:rsid w:val="0056331D"/>
    <w:rsid w:val="005633E7"/>
    <w:rsid w:val="005640CC"/>
    <w:rsid w:val="00564ECF"/>
    <w:rsid w:val="005659E2"/>
    <w:rsid w:val="005660A2"/>
    <w:rsid w:val="0056676D"/>
    <w:rsid w:val="00570A10"/>
    <w:rsid w:val="00571FF7"/>
    <w:rsid w:val="0057201D"/>
    <w:rsid w:val="00572505"/>
    <w:rsid w:val="00572F65"/>
    <w:rsid w:val="005730E8"/>
    <w:rsid w:val="00573362"/>
    <w:rsid w:val="00574A02"/>
    <w:rsid w:val="00576F6F"/>
    <w:rsid w:val="00577327"/>
    <w:rsid w:val="00577E3C"/>
    <w:rsid w:val="005803A2"/>
    <w:rsid w:val="00581B7E"/>
    <w:rsid w:val="00582809"/>
    <w:rsid w:val="005842CA"/>
    <w:rsid w:val="005848AC"/>
    <w:rsid w:val="00586D01"/>
    <w:rsid w:val="005876CA"/>
    <w:rsid w:val="0058798C"/>
    <w:rsid w:val="005900FA"/>
    <w:rsid w:val="005908D0"/>
    <w:rsid w:val="005923AB"/>
    <w:rsid w:val="005935A4"/>
    <w:rsid w:val="0059369F"/>
    <w:rsid w:val="005948C2"/>
    <w:rsid w:val="005949E0"/>
    <w:rsid w:val="00595378"/>
    <w:rsid w:val="00595454"/>
    <w:rsid w:val="00595DCA"/>
    <w:rsid w:val="005963D5"/>
    <w:rsid w:val="0059779B"/>
    <w:rsid w:val="005977ED"/>
    <w:rsid w:val="00597BB9"/>
    <w:rsid w:val="005A209A"/>
    <w:rsid w:val="005A32BF"/>
    <w:rsid w:val="005A354B"/>
    <w:rsid w:val="005A35C1"/>
    <w:rsid w:val="005A3AB7"/>
    <w:rsid w:val="005A4ACC"/>
    <w:rsid w:val="005A5CE9"/>
    <w:rsid w:val="005A662D"/>
    <w:rsid w:val="005A6897"/>
    <w:rsid w:val="005B01C2"/>
    <w:rsid w:val="005B1FBF"/>
    <w:rsid w:val="005B35C2"/>
    <w:rsid w:val="005B35D7"/>
    <w:rsid w:val="005B392A"/>
    <w:rsid w:val="005B3AA3"/>
    <w:rsid w:val="005B41E7"/>
    <w:rsid w:val="005B44FE"/>
    <w:rsid w:val="005B4DED"/>
    <w:rsid w:val="005B5064"/>
    <w:rsid w:val="005B5624"/>
    <w:rsid w:val="005B591A"/>
    <w:rsid w:val="005B6F83"/>
    <w:rsid w:val="005C0D1A"/>
    <w:rsid w:val="005C1038"/>
    <w:rsid w:val="005C11A7"/>
    <w:rsid w:val="005C1DF3"/>
    <w:rsid w:val="005C2DB7"/>
    <w:rsid w:val="005C59B3"/>
    <w:rsid w:val="005C5EDC"/>
    <w:rsid w:val="005C60FC"/>
    <w:rsid w:val="005C6424"/>
    <w:rsid w:val="005C661F"/>
    <w:rsid w:val="005C7388"/>
    <w:rsid w:val="005C74FB"/>
    <w:rsid w:val="005C78E8"/>
    <w:rsid w:val="005D0023"/>
    <w:rsid w:val="005D053B"/>
    <w:rsid w:val="005D08E2"/>
    <w:rsid w:val="005D1602"/>
    <w:rsid w:val="005D2DDE"/>
    <w:rsid w:val="005D2F69"/>
    <w:rsid w:val="005D4EAB"/>
    <w:rsid w:val="005D67DA"/>
    <w:rsid w:val="005D6DA6"/>
    <w:rsid w:val="005D7915"/>
    <w:rsid w:val="005D7F2E"/>
    <w:rsid w:val="005E02CA"/>
    <w:rsid w:val="005E03C7"/>
    <w:rsid w:val="005E0690"/>
    <w:rsid w:val="005E116A"/>
    <w:rsid w:val="005E2079"/>
    <w:rsid w:val="005E372A"/>
    <w:rsid w:val="005E385F"/>
    <w:rsid w:val="005E4FA0"/>
    <w:rsid w:val="005E5B81"/>
    <w:rsid w:val="005E661C"/>
    <w:rsid w:val="005E6746"/>
    <w:rsid w:val="005E67CB"/>
    <w:rsid w:val="005E756D"/>
    <w:rsid w:val="005F0DB7"/>
    <w:rsid w:val="005F10D3"/>
    <w:rsid w:val="005F24F1"/>
    <w:rsid w:val="005F28D9"/>
    <w:rsid w:val="005F2CB1"/>
    <w:rsid w:val="005F3025"/>
    <w:rsid w:val="005F35D0"/>
    <w:rsid w:val="005F487F"/>
    <w:rsid w:val="005F4F25"/>
    <w:rsid w:val="005F587C"/>
    <w:rsid w:val="005F618C"/>
    <w:rsid w:val="005F70BD"/>
    <w:rsid w:val="005F74D4"/>
    <w:rsid w:val="005F7C55"/>
    <w:rsid w:val="00600135"/>
    <w:rsid w:val="0060024C"/>
    <w:rsid w:val="00601051"/>
    <w:rsid w:val="0060171B"/>
    <w:rsid w:val="006019EC"/>
    <w:rsid w:val="0060283C"/>
    <w:rsid w:val="00603652"/>
    <w:rsid w:val="00604F14"/>
    <w:rsid w:val="0060508B"/>
    <w:rsid w:val="006052AD"/>
    <w:rsid w:val="00605A16"/>
    <w:rsid w:val="00611B83"/>
    <w:rsid w:val="00611EEC"/>
    <w:rsid w:val="00613257"/>
    <w:rsid w:val="00613331"/>
    <w:rsid w:val="00613577"/>
    <w:rsid w:val="00614630"/>
    <w:rsid w:val="0061504C"/>
    <w:rsid w:val="0061542F"/>
    <w:rsid w:val="0061544E"/>
    <w:rsid w:val="00616907"/>
    <w:rsid w:val="00620022"/>
    <w:rsid w:val="006209AC"/>
    <w:rsid w:val="00620A71"/>
    <w:rsid w:val="00620D80"/>
    <w:rsid w:val="0062156A"/>
    <w:rsid w:val="00621ED0"/>
    <w:rsid w:val="006234A6"/>
    <w:rsid w:val="00623DB6"/>
    <w:rsid w:val="0062645E"/>
    <w:rsid w:val="0062660B"/>
    <w:rsid w:val="00626FAC"/>
    <w:rsid w:val="00630001"/>
    <w:rsid w:val="00630389"/>
    <w:rsid w:val="0063098E"/>
    <w:rsid w:val="006311B3"/>
    <w:rsid w:val="00631501"/>
    <w:rsid w:val="00631CA0"/>
    <w:rsid w:val="006324F6"/>
    <w:rsid w:val="006325EF"/>
    <w:rsid w:val="0063284C"/>
    <w:rsid w:val="00632CDF"/>
    <w:rsid w:val="00633A03"/>
    <w:rsid w:val="00634A89"/>
    <w:rsid w:val="00634D86"/>
    <w:rsid w:val="0063536D"/>
    <w:rsid w:val="0063542B"/>
    <w:rsid w:val="006357C3"/>
    <w:rsid w:val="00636398"/>
    <w:rsid w:val="006365E3"/>
    <w:rsid w:val="006368D3"/>
    <w:rsid w:val="0063753B"/>
    <w:rsid w:val="006377EC"/>
    <w:rsid w:val="0064015B"/>
    <w:rsid w:val="0064151F"/>
    <w:rsid w:val="00641533"/>
    <w:rsid w:val="00641B4B"/>
    <w:rsid w:val="0064208D"/>
    <w:rsid w:val="0064209C"/>
    <w:rsid w:val="006421FD"/>
    <w:rsid w:val="006422A0"/>
    <w:rsid w:val="00642E5A"/>
    <w:rsid w:val="00643057"/>
    <w:rsid w:val="00643475"/>
    <w:rsid w:val="006436A6"/>
    <w:rsid w:val="0064396A"/>
    <w:rsid w:val="00643F2B"/>
    <w:rsid w:val="006445B3"/>
    <w:rsid w:val="00644E44"/>
    <w:rsid w:val="00645D0E"/>
    <w:rsid w:val="00645FDA"/>
    <w:rsid w:val="006461FC"/>
    <w:rsid w:val="0064624E"/>
    <w:rsid w:val="006471BD"/>
    <w:rsid w:val="006477CF"/>
    <w:rsid w:val="006502A1"/>
    <w:rsid w:val="00650AB9"/>
    <w:rsid w:val="00650CF2"/>
    <w:rsid w:val="00652ADE"/>
    <w:rsid w:val="006553E7"/>
    <w:rsid w:val="00655733"/>
    <w:rsid w:val="00655ACD"/>
    <w:rsid w:val="0065630D"/>
    <w:rsid w:val="00656A92"/>
    <w:rsid w:val="00656DDE"/>
    <w:rsid w:val="0066011D"/>
    <w:rsid w:val="00660649"/>
    <w:rsid w:val="006607C0"/>
    <w:rsid w:val="006613A6"/>
    <w:rsid w:val="00662360"/>
    <w:rsid w:val="006626E8"/>
    <w:rsid w:val="006627A2"/>
    <w:rsid w:val="006634E6"/>
    <w:rsid w:val="0066356F"/>
    <w:rsid w:val="00663825"/>
    <w:rsid w:val="00663C2C"/>
    <w:rsid w:val="00664B1C"/>
    <w:rsid w:val="00665306"/>
    <w:rsid w:val="006655EE"/>
    <w:rsid w:val="00665EE9"/>
    <w:rsid w:val="006663B2"/>
    <w:rsid w:val="00667EE7"/>
    <w:rsid w:val="006707F5"/>
    <w:rsid w:val="00670922"/>
    <w:rsid w:val="00670BE1"/>
    <w:rsid w:val="00671CAC"/>
    <w:rsid w:val="0067218F"/>
    <w:rsid w:val="00673979"/>
    <w:rsid w:val="006739D6"/>
    <w:rsid w:val="0067405B"/>
    <w:rsid w:val="006741F2"/>
    <w:rsid w:val="00674B7E"/>
    <w:rsid w:val="00674CC3"/>
    <w:rsid w:val="0067599E"/>
    <w:rsid w:val="00675C72"/>
    <w:rsid w:val="006767ED"/>
    <w:rsid w:val="00676A13"/>
    <w:rsid w:val="00676AAD"/>
    <w:rsid w:val="0067705F"/>
    <w:rsid w:val="006771F9"/>
    <w:rsid w:val="006776D7"/>
    <w:rsid w:val="00677E7A"/>
    <w:rsid w:val="00677EB7"/>
    <w:rsid w:val="00680EEC"/>
    <w:rsid w:val="00681003"/>
    <w:rsid w:val="006817C9"/>
    <w:rsid w:val="006825E2"/>
    <w:rsid w:val="00682FF3"/>
    <w:rsid w:val="0068316E"/>
    <w:rsid w:val="00683ECE"/>
    <w:rsid w:val="00684939"/>
    <w:rsid w:val="00685F8C"/>
    <w:rsid w:val="006868C4"/>
    <w:rsid w:val="006875D4"/>
    <w:rsid w:val="0068760C"/>
    <w:rsid w:val="00687A18"/>
    <w:rsid w:val="00687FF0"/>
    <w:rsid w:val="00690ED5"/>
    <w:rsid w:val="006933F4"/>
    <w:rsid w:val="00693ACB"/>
    <w:rsid w:val="00694BC5"/>
    <w:rsid w:val="00695FC2"/>
    <w:rsid w:val="00696949"/>
    <w:rsid w:val="00696B6B"/>
    <w:rsid w:val="00697052"/>
    <w:rsid w:val="00697BEF"/>
    <w:rsid w:val="006A46FB"/>
    <w:rsid w:val="006A482A"/>
    <w:rsid w:val="006A488A"/>
    <w:rsid w:val="006A4B38"/>
    <w:rsid w:val="006A4E9E"/>
    <w:rsid w:val="006A5C12"/>
    <w:rsid w:val="006A5E28"/>
    <w:rsid w:val="006A685F"/>
    <w:rsid w:val="006A697B"/>
    <w:rsid w:val="006A7ADC"/>
    <w:rsid w:val="006A7AFF"/>
    <w:rsid w:val="006B0508"/>
    <w:rsid w:val="006B1816"/>
    <w:rsid w:val="006B2099"/>
    <w:rsid w:val="006B3916"/>
    <w:rsid w:val="006B40A4"/>
    <w:rsid w:val="006B421A"/>
    <w:rsid w:val="006B50CF"/>
    <w:rsid w:val="006B6544"/>
    <w:rsid w:val="006B7077"/>
    <w:rsid w:val="006C03B8"/>
    <w:rsid w:val="006C0997"/>
    <w:rsid w:val="006C329F"/>
    <w:rsid w:val="006C38ED"/>
    <w:rsid w:val="006C5EC9"/>
    <w:rsid w:val="006C6059"/>
    <w:rsid w:val="006C62D1"/>
    <w:rsid w:val="006C6675"/>
    <w:rsid w:val="006C6D27"/>
    <w:rsid w:val="006C6EE8"/>
    <w:rsid w:val="006C7522"/>
    <w:rsid w:val="006C7875"/>
    <w:rsid w:val="006D0DDD"/>
    <w:rsid w:val="006D1E26"/>
    <w:rsid w:val="006D2728"/>
    <w:rsid w:val="006D46D9"/>
    <w:rsid w:val="006D4821"/>
    <w:rsid w:val="006D51A4"/>
    <w:rsid w:val="006D553A"/>
    <w:rsid w:val="006D565C"/>
    <w:rsid w:val="006D5A7E"/>
    <w:rsid w:val="006D64DE"/>
    <w:rsid w:val="006D6F08"/>
    <w:rsid w:val="006D730B"/>
    <w:rsid w:val="006D7623"/>
    <w:rsid w:val="006E062C"/>
    <w:rsid w:val="006E21EC"/>
    <w:rsid w:val="006E22BF"/>
    <w:rsid w:val="006E2700"/>
    <w:rsid w:val="006E28B7"/>
    <w:rsid w:val="006E3310"/>
    <w:rsid w:val="006E33C0"/>
    <w:rsid w:val="006E4E39"/>
    <w:rsid w:val="006E5332"/>
    <w:rsid w:val="006E565E"/>
    <w:rsid w:val="006E591C"/>
    <w:rsid w:val="006E5B8E"/>
    <w:rsid w:val="006E673D"/>
    <w:rsid w:val="006E7D3B"/>
    <w:rsid w:val="006F123C"/>
    <w:rsid w:val="006F1418"/>
    <w:rsid w:val="006F1AAE"/>
    <w:rsid w:val="006F1B70"/>
    <w:rsid w:val="006F1DA8"/>
    <w:rsid w:val="006F1E76"/>
    <w:rsid w:val="006F2DD6"/>
    <w:rsid w:val="006F341D"/>
    <w:rsid w:val="006F35D7"/>
    <w:rsid w:val="006F3CDE"/>
    <w:rsid w:val="006F4178"/>
    <w:rsid w:val="006F4ADE"/>
    <w:rsid w:val="006F4EB6"/>
    <w:rsid w:val="006F5124"/>
    <w:rsid w:val="006F58D4"/>
    <w:rsid w:val="006F5D86"/>
    <w:rsid w:val="006F637A"/>
    <w:rsid w:val="006F718B"/>
    <w:rsid w:val="00700AF0"/>
    <w:rsid w:val="00700CC9"/>
    <w:rsid w:val="00700EF5"/>
    <w:rsid w:val="0070151D"/>
    <w:rsid w:val="00702556"/>
    <w:rsid w:val="0070346E"/>
    <w:rsid w:val="007041B0"/>
    <w:rsid w:val="00704EDB"/>
    <w:rsid w:val="00706101"/>
    <w:rsid w:val="00706A8B"/>
    <w:rsid w:val="00707072"/>
    <w:rsid w:val="00707D61"/>
    <w:rsid w:val="007100D8"/>
    <w:rsid w:val="0071078E"/>
    <w:rsid w:val="00711521"/>
    <w:rsid w:val="00712287"/>
    <w:rsid w:val="00712772"/>
    <w:rsid w:val="00712E1D"/>
    <w:rsid w:val="00713083"/>
    <w:rsid w:val="007134B8"/>
    <w:rsid w:val="007148D3"/>
    <w:rsid w:val="007155B1"/>
    <w:rsid w:val="00715B9A"/>
    <w:rsid w:val="00715BD2"/>
    <w:rsid w:val="00715C0E"/>
    <w:rsid w:val="00716B65"/>
    <w:rsid w:val="00716F89"/>
    <w:rsid w:val="0072024A"/>
    <w:rsid w:val="007225B5"/>
    <w:rsid w:val="007226E7"/>
    <w:rsid w:val="00722D4D"/>
    <w:rsid w:val="007235AE"/>
    <w:rsid w:val="00724447"/>
    <w:rsid w:val="007244BA"/>
    <w:rsid w:val="00724C72"/>
    <w:rsid w:val="00724EFB"/>
    <w:rsid w:val="00726EA6"/>
    <w:rsid w:val="00727208"/>
    <w:rsid w:val="0072753A"/>
    <w:rsid w:val="00727680"/>
    <w:rsid w:val="00732BB8"/>
    <w:rsid w:val="0073427F"/>
    <w:rsid w:val="00734647"/>
    <w:rsid w:val="0073468C"/>
    <w:rsid w:val="007348B1"/>
    <w:rsid w:val="00734B8A"/>
    <w:rsid w:val="007362A6"/>
    <w:rsid w:val="00736D7D"/>
    <w:rsid w:val="00737524"/>
    <w:rsid w:val="007409DD"/>
    <w:rsid w:val="00740E58"/>
    <w:rsid w:val="007420F5"/>
    <w:rsid w:val="007445A0"/>
    <w:rsid w:val="00745163"/>
    <w:rsid w:val="0074524B"/>
    <w:rsid w:val="00745BD0"/>
    <w:rsid w:val="00746405"/>
    <w:rsid w:val="007472EC"/>
    <w:rsid w:val="00747D8B"/>
    <w:rsid w:val="00750092"/>
    <w:rsid w:val="00751228"/>
    <w:rsid w:val="007518F1"/>
    <w:rsid w:val="00752B7D"/>
    <w:rsid w:val="0075435D"/>
    <w:rsid w:val="00754DB7"/>
    <w:rsid w:val="00755E35"/>
    <w:rsid w:val="007571E1"/>
    <w:rsid w:val="00757647"/>
    <w:rsid w:val="007577B7"/>
    <w:rsid w:val="00757DB2"/>
    <w:rsid w:val="00757DDD"/>
    <w:rsid w:val="007604B2"/>
    <w:rsid w:val="00761C88"/>
    <w:rsid w:val="0076245F"/>
    <w:rsid w:val="00762698"/>
    <w:rsid w:val="00762E4F"/>
    <w:rsid w:val="007642E1"/>
    <w:rsid w:val="007644E2"/>
    <w:rsid w:val="00764702"/>
    <w:rsid w:val="00764E64"/>
    <w:rsid w:val="00765281"/>
    <w:rsid w:val="00765ACE"/>
    <w:rsid w:val="00765B38"/>
    <w:rsid w:val="007665DD"/>
    <w:rsid w:val="00766BAD"/>
    <w:rsid w:val="007679B8"/>
    <w:rsid w:val="00767E81"/>
    <w:rsid w:val="0077087C"/>
    <w:rsid w:val="007730BD"/>
    <w:rsid w:val="007755F2"/>
    <w:rsid w:val="007755FB"/>
    <w:rsid w:val="00775A1B"/>
    <w:rsid w:val="00775A4F"/>
    <w:rsid w:val="00776971"/>
    <w:rsid w:val="00777A80"/>
    <w:rsid w:val="00777FA5"/>
    <w:rsid w:val="0078092A"/>
    <w:rsid w:val="00780F7F"/>
    <w:rsid w:val="0078116E"/>
    <w:rsid w:val="0078177E"/>
    <w:rsid w:val="007820F4"/>
    <w:rsid w:val="0078304C"/>
    <w:rsid w:val="007830C6"/>
    <w:rsid w:val="00783673"/>
    <w:rsid w:val="00784141"/>
    <w:rsid w:val="00784758"/>
    <w:rsid w:val="00784A49"/>
    <w:rsid w:val="00785490"/>
    <w:rsid w:val="00786A0B"/>
    <w:rsid w:val="00790171"/>
    <w:rsid w:val="00790834"/>
    <w:rsid w:val="00791396"/>
    <w:rsid w:val="00791A32"/>
    <w:rsid w:val="0079219A"/>
    <w:rsid w:val="007925EA"/>
    <w:rsid w:val="00792FA7"/>
    <w:rsid w:val="0079306E"/>
    <w:rsid w:val="00793251"/>
    <w:rsid w:val="007933B8"/>
    <w:rsid w:val="00793CD8"/>
    <w:rsid w:val="007943C4"/>
    <w:rsid w:val="007956C0"/>
    <w:rsid w:val="00795C5E"/>
    <w:rsid w:val="00795C92"/>
    <w:rsid w:val="00795F47"/>
    <w:rsid w:val="00796231"/>
    <w:rsid w:val="007966A8"/>
    <w:rsid w:val="00797825"/>
    <w:rsid w:val="00797E4B"/>
    <w:rsid w:val="007A0CEE"/>
    <w:rsid w:val="007A1524"/>
    <w:rsid w:val="007A1BD6"/>
    <w:rsid w:val="007A1CB3"/>
    <w:rsid w:val="007A306F"/>
    <w:rsid w:val="007A325C"/>
    <w:rsid w:val="007A3659"/>
    <w:rsid w:val="007A37A4"/>
    <w:rsid w:val="007A43A6"/>
    <w:rsid w:val="007A44B3"/>
    <w:rsid w:val="007A510B"/>
    <w:rsid w:val="007A58A6"/>
    <w:rsid w:val="007A5952"/>
    <w:rsid w:val="007A6967"/>
    <w:rsid w:val="007A6EC1"/>
    <w:rsid w:val="007A70EA"/>
    <w:rsid w:val="007A750B"/>
    <w:rsid w:val="007A7578"/>
    <w:rsid w:val="007A7B2B"/>
    <w:rsid w:val="007A7C17"/>
    <w:rsid w:val="007B049E"/>
    <w:rsid w:val="007B04F5"/>
    <w:rsid w:val="007B2670"/>
    <w:rsid w:val="007B2C07"/>
    <w:rsid w:val="007B3D2D"/>
    <w:rsid w:val="007B50AE"/>
    <w:rsid w:val="007B51DF"/>
    <w:rsid w:val="007B60E8"/>
    <w:rsid w:val="007C00CE"/>
    <w:rsid w:val="007C00EE"/>
    <w:rsid w:val="007C05DD"/>
    <w:rsid w:val="007C076C"/>
    <w:rsid w:val="007C163C"/>
    <w:rsid w:val="007C1692"/>
    <w:rsid w:val="007C2A46"/>
    <w:rsid w:val="007C2FD9"/>
    <w:rsid w:val="007C39E4"/>
    <w:rsid w:val="007C3D18"/>
    <w:rsid w:val="007C3EEF"/>
    <w:rsid w:val="007C5AEE"/>
    <w:rsid w:val="007C60BF"/>
    <w:rsid w:val="007C6726"/>
    <w:rsid w:val="007C6A07"/>
    <w:rsid w:val="007C7235"/>
    <w:rsid w:val="007C7332"/>
    <w:rsid w:val="007C75A1"/>
    <w:rsid w:val="007C77A5"/>
    <w:rsid w:val="007D022C"/>
    <w:rsid w:val="007D04E5"/>
    <w:rsid w:val="007D06D2"/>
    <w:rsid w:val="007D23FB"/>
    <w:rsid w:val="007D34CE"/>
    <w:rsid w:val="007D389F"/>
    <w:rsid w:val="007D3FD6"/>
    <w:rsid w:val="007D56D4"/>
    <w:rsid w:val="007D5901"/>
    <w:rsid w:val="007D67FB"/>
    <w:rsid w:val="007D73C9"/>
    <w:rsid w:val="007D7526"/>
    <w:rsid w:val="007E117B"/>
    <w:rsid w:val="007E330D"/>
    <w:rsid w:val="007E4610"/>
    <w:rsid w:val="007E46D1"/>
    <w:rsid w:val="007E4715"/>
    <w:rsid w:val="007E505B"/>
    <w:rsid w:val="007E578D"/>
    <w:rsid w:val="007E7091"/>
    <w:rsid w:val="007F094A"/>
    <w:rsid w:val="007F1B3B"/>
    <w:rsid w:val="007F34B3"/>
    <w:rsid w:val="007F4304"/>
    <w:rsid w:val="007F434B"/>
    <w:rsid w:val="007F4A32"/>
    <w:rsid w:val="007F519F"/>
    <w:rsid w:val="007F64F3"/>
    <w:rsid w:val="007F7569"/>
    <w:rsid w:val="00800B21"/>
    <w:rsid w:val="00800D2B"/>
    <w:rsid w:val="00800D3D"/>
    <w:rsid w:val="00802312"/>
    <w:rsid w:val="00803C27"/>
    <w:rsid w:val="00803FAE"/>
    <w:rsid w:val="0080507A"/>
    <w:rsid w:val="0080533F"/>
    <w:rsid w:val="0080605F"/>
    <w:rsid w:val="008067FD"/>
    <w:rsid w:val="00806DCD"/>
    <w:rsid w:val="008074BE"/>
    <w:rsid w:val="00807786"/>
    <w:rsid w:val="00811029"/>
    <w:rsid w:val="00811461"/>
    <w:rsid w:val="008115F2"/>
    <w:rsid w:val="008119C8"/>
    <w:rsid w:val="00811C33"/>
    <w:rsid w:val="00811F42"/>
    <w:rsid w:val="00811FCB"/>
    <w:rsid w:val="0081209F"/>
    <w:rsid w:val="00812B0E"/>
    <w:rsid w:val="008139E7"/>
    <w:rsid w:val="008158D6"/>
    <w:rsid w:val="00815C3A"/>
    <w:rsid w:val="00815D3D"/>
    <w:rsid w:val="00817196"/>
    <w:rsid w:val="008177AB"/>
    <w:rsid w:val="00821014"/>
    <w:rsid w:val="0082168B"/>
    <w:rsid w:val="008216C2"/>
    <w:rsid w:val="008222C4"/>
    <w:rsid w:val="008235DB"/>
    <w:rsid w:val="00824679"/>
    <w:rsid w:val="008249FB"/>
    <w:rsid w:val="00824AB4"/>
    <w:rsid w:val="00825C42"/>
    <w:rsid w:val="00825D25"/>
    <w:rsid w:val="0082694F"/>
    <w:rsid w:val="00826968"/>
    <w:rsid w:val="00826BD0"/>
    <w:rsid w:val="00827D6F"/>
    <w:rsid w:val="0083012E"/>
    <w:rsid w:val="0083283D"/>
    <w:rsid w:val="00833363"/>
    <w:rsid w:val="008339E5"/>
    <w:rsid w:val="00834AFF"/>
    <w:rsid w:val="00835393"/>
    <w:rsid w:val="0083544D"/>
    <w:rsid w:val="00835D69"/>
    <w:rsid w:val="00836790"/>
    <w:rsid w:val="008376AC"/>
    <w:rsid w:val="00837B49"/>
    <w:rsid w:val="008402ED"/>
    <w:rsid w:val="00841CE5"/>
    <w:rsid w:val="008421E8"/>
    <w:rsid w:val="008422C6"/>
    <w:rsid w:val="00842E02"/>
    <w:rsid w:val="008444E8"/>
    <w:rsid w:val="00844E80"/>
    <w:rsid w:val="00845C41"/>
    <w:rsid w:val="008460E5"/>
    <w:rsid w:val="00846E51"/>
    <w:rsid w:val="00846FE7"/>
    <w:rsid w:val="00847447"/>
    <w:rsid w:val="008475C0"/>
    <w:rsid w:val="00850833"/>
    <w:rsid w:val="00852727"/>
    <w:rsid w:val="008528A3"/>
    <w:rsid w:val="00852A7F"/>
    <w:rsid w:val="00853651"/>
    <w:rsid w:val="008543D0"/>
    <w:rsid w:val="00854F97"/>
    <w:rsid w:val="00855321"/>
    <w:rsid w:val="00855821"/>
    <w:rsid w:val="00856911"/>
    <w:rsid w:val="008569D5"/>
    <w:rsid w:val="0085737E"/>
    <w:rsid w:val="0086096E"/>
    <w:rsid w:val="00862377"/>
    <w:rsid w:val="0086436F"/>
    <w:rsid w:val="0086462F"/>
    <w:rsid w:val="00864DC8"/>
    <w:rsid w:val="00865780"/>
    <w:rsid w:val="008677FD"/>
    <w:rsid w:val="0087055F"/>
    <w:rsid w:val="008706D4"/>
    <w:rsid w:val="00870F8A"/>
    <w:rsid w:val="008719A4"/>
    <w:rsid w:val="00871D23"/>
    <w:rsid w:val="00873959"/>
    <w:rsid w:val="00874312"/>
    <w:rsid w:val="0087437C"/>
    <w:rsid w:val="008750B4"/>
    <w:rsid w:val="00875CD7"/>
    <w:rsid w:val="008764D0"/>
    <w:rsid w:val="00876B4D"/>
    <w:rsid w:val="0087759F"/>
    <w:rsid w:val="00877798"/>
    <w:rsid w:val="00877F18"/>
    <w:rsid w:val="008800E2"/>
    <w:rsid w:val="00880362"/>
    <w:rsid w:val="00881F46"/>
    <w:rsid w:val="00882C7C"/>
    <w:rsid w:val="00883264"/>
    <w:rsid w:val="00883E68"/>
    <w:rsid w:val="00884118"/>
    <w:rsid w:val="008851E4"/>
    <w:rsid w:val="0088565A"/>
    <w:rsid w:val="00885F62"/>
    <w:rsid w:val="00887633"/>
    <w:rsid w:val="0089120A"/>
    <w:rsid w:val="00891A29"/>
    <w:rsid w:val="00892D05"/>
    <w:rsid w:val="00894119"/>
    <w:rsid w:val="00894A88"/>
    <w:rsid w:val="00895386"/>
    <w:rsid w:val="00896A7F"/>
    <w:rsid w:val="00896E2B"/>
    <w:rsid w:val="008A03FA"/>
    <w:rsid w:val="008A0CD0"/>
    <w:rsid w:val="008A0DDB"/>
    <w:rsid w:val="008A21FF"/>
    <w:rsid w:val="008A2945"/>
    <w:rsid w:val="008A2CAD"/>
    <w:rsid w:val="008A2CE2"/>
    <w:rsid w:val="008A30AC"/>
    <w:rsid w:val="008A311C"/>
    <w:rsid w:val="008A3497"/>
    <w:rsid w:val="008A44B8"/>
    <w:rsid w:val="008A49AC"/>
    <w:rsid w:val="008A5187"/>
    <w:rsid w:val="008A51A8"/>
    <w:rsid w:val="008A54C7"/>
    <w:rsid w:val="008A6AFC"/>
    <w:rsid w:val="008A6EFD"/>
    <w:rsid w:val="008A77D8"/>
    <w:rsid w:val="008B0483"/>
    <w:rsid w:val="008B0ADB"/>
    <w:rsid w:val="008B120C"/>
    <w:rsid w:val="008B18D3"/>
    <w:rsid w:val="008B1A30"/>
    <w:rsid w:val="008B1DE4"/>
    <w:rsid w:val="008B2342"/>
    <w:rsid w:val="008B311F"/>
    <w:rsid w:val="008B3D12"/>
    <w:rsid w:val="008B3FF0"/>
    <w:rsid w:val="008B51A0"/>
    <w:rsid w:val="008B592A"/>
    <w:rsid w:val="008B6237"/>
    <w:rsid w:val="008B6782"/>
    <w:rsid w:val="008B7A71"/>
    <w:rsid w:val="008B7B5C"/>
    <w:rsid w:val="008C0C99"/>
    <w:rsid w:val="008C2017"/>
    <w:rsid w:val="008C220B"/>
    <w:rsid w:val="008C4958"/>
    <w:rsid w:val="008C4BAA"/>
    <w:rsid w:val="008C5706"/>
    <w:rsid w:val="008C5C3C"/>
    <w:rsid w:val="008C6934"/>
    <w:rsid w:val="008C6AE8"/>
    <w:rsid w:val="008C7573"/>
    <w:rsid w:val="008D0083"/>
    <w:rsid w:val="008D0334"/>
    <w:rsid w:val="008D1526"/>
    <w:rsid w:val="008D2622"/>
    <w:rsid w:val="008D2C26"/>
    <w:rsid w:val="008D2DD0"/>
    <w:rsid w:val="008D34F1"/>
    <w:rsid w:val="008D39D8"/>
    <w:rsid w:val="008D474F"/>
    <w:rsid w:val="008D476F"/>
    <w:rsid w:val="008D4922"/>
    <w:rsid w:val="008D4E3E"/>
    <w:rsid w:val="008D677D"/>
    <w:rsid w:val="008D6D1A"/>
    <w:rsid w:val="008D6E0E"/>
    <w:rsid w:val="008D71C2"/>
    <w:rsid w:val="008D7210"/>
    <w:rsid w:val="008D77D2"/>
    <w:rsid w:val="008D79C9"/>
    <w:rsid w:val="008E065E"/>
    <w:rsid w:val="008E08FD"/>
    <w:rsid w:val="008E0927"/>
    <w:rsid w:val="008E0B65"/>
    <w:rsid w:val="008E1909"/>
    <w:rsid w:val="008E3628"/>
    <w:rsid w:val="008E40E5"/>
    <w:rsid w:val="008E6A1C"/>
    <w:rsid w:val="008E6C65"/>
    <w:rsid w:val="008E6E6E"/>
    <w:rsid w:val="008E762D"/>
    <w:rsid w:val="008E7DDE"/>
    <w:rsid w:val="008F0C12"/>
    <w:rsid w:val="008F0C37"/>
    <w:rsid w:val="008F1587"/>
    <w:rsid w:val="008F1BE4"/>
    <w:rsid w:val="008F1EAB"/>
    <w:rsid w:val="008F289E"/>
    <w:rsid w:val="008F2FB3"/>
    <w:rsid w:val="008F33DC"/>
    <w:rsid w:val="008F443D"/>
    <w:rsid w:val="008F477F"/>
    <w:rsid w:val="008F4D76"/>
    <w:rsid w:val="008F6D1A"/>
    <w:rsid w:val="008F74A7"/>
    <w:rsid w:val="00901988"/>
    <w:rsid w:val="00901B18"/>
    <w:rsid w:val="00902350"/>
    <w:rsid w:val="00902519"/>
    <w:rsid w:val="0090336B"/>
    <w:rsid w:val="009042FC"/>
    <w:rsid w:val="00904628"/>
    <w:rsid w:val="00904D79"/>
    <w:rsid w:val="009053AA"/>
    <w:rsid w:val="00905A50"/>
    <w:rsid w:val="00906141"/>
    <w:rsid w:val="00906939"/>
    <w:rsid w:val="00906B69"/>
    <w:rsid w:val="00906BF5"/>
    <w:rsid w:val="00906F26"/>
    <w:rsid w:val="00907BD1"/>
    <w:rsid w:val="00907BDA"/>
    <w:rsid w:val="00910B7D"/>
    <w:rsid w:val="00911395"/>
    <w:rsid w:val="00911DFB"/>
    <w:rsid w:val="0091318E"/>
    <w:rsid w:val="009139D9"/>
    <w:rsid w:val="00914AD8"/>
    <w:rsid w:val="00914DB8"/>
    <w:rsid w:val="009154C7"/>
    <w:rsid w:val="00915A5F"/>
    <w:rsid w:val="00916079"/>
    <w:rsid w:val="00916FA0"/>
    <w:rsid w:val="00917CE9"/>
    <w:rsid w:val="00917F05"/>
    <w:rsid w:val="009201DA"/>
    <w:rsid w:val="00920BF2"/>
    <w:rsid w:val="00922010"/>
    <w:rsid w:val="0092238F"/>
    <w:rsid w:val="00922449"/>
    <w:rsid w:val="00922BE8"/>
    <w:rsid w:val="00923719"/>
    <w:rsid w:val="009249F3"/>
    <w:rsid w:val="00924BEC"/>
    <w:rsid w:val="009260E3"/>
    <w:rsid w:val="0092790F"/>
    <w:rsid w:val="0093061B"/>
    <w:rsid w:val="00930EC7"/>
    <w:rsid w:val="00931BD9"/>
    <w:rsid w:val="00931CAA"/>
    <w:rsid w:val="00933798"/>
    <w:rsid w:val="00933F9D"/>
    <w:rsid w:val="00934083"/>
    <w:rsid w:val="009346C9"/>
    <w:rsid w:val="00935064"/>
    <w:rsid w:val="009368F3"/>
    <w:rsid w:val="009407B1"/>
    <w:rsid w:val="00940884"/>
    <w:rsid w:val="00941636"/>
    <w:rsid w:val="00941B7B"/>
    <w:rsid w:val="00942CB3"/>
    <w:rsid w:val="00943742"/>
    <w:rsid w:val="009447C6"/>
    <w:rsid w:val="00945C05"/>
    <w:rsid w:val="00946945"/>
    <w:rsid w:val="00946D01"/>
    <w:rsid w:val="00947713"/>
    <w:rsid w:val="00950BA6"/>
    <w:rsid w:val="00950DE7"/>
    <w:rsid w:val="00951021"/>
    <w:rsid w:val="00953920"/>
    <w:rsid w:val="00953D47"/>
    <w:rsid w:val="00955E2B"/>
    <w:rsid w:val="0095681E"/>
    <w:rsid w:val="009572D4"/>
    <w:rsid w:val="00957FCE"/>
    <w:rsid w:val="00961921"/>
    <w:rsid w:val="00963824"/>
    <w:rsid w:val="00963F2D"/>
    <w:rsid w:val="0096430A"/>
    <w:rsid w:val="0096522B"/>
    <w:rsid w:val="0096554B"/>
    <w:rsid w:val="0096584A"/>
    <w:rsid w:val="009664FB"/>
    <w:rsid w:val="00966591"/>
    <w:rsid w:val="00970FD4"/>
    <w:rsid w:val="00971D97"/>
    <w:rsid w:val="00971F08"/>
    <w:rsid w:val="0097223E"/>
    <w:rsid w:val="00974EF3"/>
    <w:rsid w:val="00975888"/>
    <w:rsid w:val="00975C89"/>
    <w:rsid w:val="0097603D"/>
    <w:rsid w:val="00976949"/>
    <w:rsid w:val="00977341"/>
    <w:rsid w:val="00977569"/>
    <w:rsid w:val="00977C67"/>
    <w:rsid w:val="00977DA2"/>
    <w:rsid w:val="00977F6C"/>
    <w:rsid w:val="00980180"/>
    <w:rsid w:val="00980268"/>
    <w:rsid w:val="00980477"/>
    <w:rsid w:val="00980F7F"/>
    <w:rsid w:val="00981239"/>
    <w:rsid w:val="00981E2F"/>
    <w:rsid w:val="0098297C"/>
    <w:rsid w:val="00983392"/>
    <w:rsid w:val="00985253"/>
    <w:rsid w:val="009853B3"/>
    <w:rsid w:val="009855AD"/>
    <w:rsid w:val="009861E1"/>
    <w:rsid w:val="00987B6A"/>
    <w:rsid w:val="00990630"/>
    <w:rsid w:val="00990EB7"/>
    <w:rsid w:val="009915A6"/>
    <w:rsid w:val="00991761"/>
    <w:rsid w:val="00991F8D"/>
    <w:rsid w:val="00994DCA"/>
    <w:rsid w:val="00995A24"/>
    <w:rsid w:val="009960EC"/>
    <w:rsid w:val="009966F3"/>
    <w:rsid w:val="009970DD"/>
    <w:rsid w:val="00997BF3"/>
    <w:rsid w:val="009A033D"/>
    <w:rsid w:val="009A0F4F"/>
    <w:rsid w:val="009A0FBA"/>
    <w:rsid w:val="009A1601"/>
    <w:rsid w:val="009A1F0F"/>
    <w:rsid w:val="009A2384"/>
    <w:rsid w:val="009A3B56"/>
    <w:rsid w:val="009A3E69"/>
    <w:rsid w:val="009A462D"/>
    <w:rsid w:val="009A58BE"/>
    <w:rsid w:val="009A59A8"/>
    <w:rsid w:val="009A5CBA"/>
    <w:rsid w:val="009B0F14"/>
    <w:rsid w:val="009B1F30"/>
    <w:rsid w:val="009B33F8"/>
    <w:rsid w:val="009B3A07"/>
    <w:rsid w:val="009B3AC2"/>
    <w:rsid w:val="009B4C83"/>
    <w:rsid w:val="009B4DF4"/>
    <w:rsid w:val="009B4E0B"/>
    <w:rsid w:val="009B564E"/>
    <w:rsid w:val="009B5AF9"/>
    <w:rsid w:val="009B733E"/>
    <w:rsid w:val="009B760B"/>
    <w:rsid w:val="009B7E87"/>
    <w:rsid w:val="009C07DD"/>
    <w:rsid w:val="009C1FE1"/>
    <w:rsid w:val="009C30C6"/>
    <w:rsid w:val="009C403E"/>
    <w:rsid w:val="009C542C"/>
    <w:rsid w:val="009C57CD"/>
    <w:rsid w:val="009C72C9"/>
    <w:rsid w:val="009D0B42"/>
    <w:rsid w:val="009D3156"/>
    <w:rsid w:val="009D3FF2"/>
    <w:rsid w:val="009D46F8"/>
    <w:rsid w:val="009D4A02"/>
    <w:rsid w:val="009D4FF0"/>
    <w:rsid w:val="009D524C"/>
    <w:rsid w:val="009D5E25"/>
    <w:rsid w:val="009D703C"/>
    <w:rsid w:val="009D717C"/>
    <w:rsid w:val="009D718F"/>
    <w:rsid w:val="009E00A0"/>
    <w:rsid w:val="009E068F"/>
    <w:rsid w:val="009E14E0"/>
    <w:rsid w:val="009E3114"/>
    <w:rsid w:val="009E35DB"/>
    <w:rsid w:val="009E47A3"/>
    <w:rsid w:val="009E483C"/>
    <w:rsid w:val="009E562D"/>
    <w:rsid w:val="009E6E92"/>
    <w:rsid w:val="009E6F90"/>
    <w:rsid w:val="009E7158"/>
    <w:rsid w:val="009E7546"/>
    <w:rsid w:val="009E7641"/>
    <w:rsid w:val="009F08F3"/>
    <w:rsid w:val="009F1EC2"/>
    <w:rsid w:val="009F2A74"/>
    <w:rsid w:val="009F2F5A"/>
    <w:rsid w:val="009F3157"/>
    <w:rsid w:val="009F344F"/>
    <w:rsid w:val="009F37C2"/>
    <w:rsid w:val="009F4F69"/>
    <w:rsid w:val="009F76B6"/>
    <w:rsid w:val="009F7EA7"/>
    <w:rsid w:val="00A002E7"/>
    <w:rsid w:val="00A040E3"/>
    <w:rsid w:val="00A04628"/>
    <w:rsid w:val="00A046AE"/>
    <w:rsid w:val="00A048A8"/>
    <w:rsid w:val="00A04A86"/>
    <w:rsid w:val="00A04BA8"/>
    <w:rsid w:val="00A04F49"/>
    <w:rsid w:val="00A057FF"/>
    <w:rsid w:val="00A05D98"/>
    <w:rsid w:val="00A060E6"/>
    <w:rsid w:val="00A06303"/>
    <w:rsid w:val="00A0758E"/>
    <w:rsid w:val="00A111B1"/>
    <w:rsid w:val="00A13E54"/>
    <w:rsid w:val="00A15220"/>
    <w:rsid w:val="00A16BA3"/>
    <w:rsid w:val="00A17F63"/>
    <w:rsid w:val="00A20205"/>
    <w:rsid w:val="00A2052C"/>
    <w:rsid w:val="00A2193B"/>
    <w:rsid w:val="00A2351A"/>
    <w:rsid w:val="00A24A4E"/>
    <w:rsid w:val="00A24D23"/>
    <w:rsid w:val="00A25767"/>
    <w:rsid w:val="00A260A0"/>
    <w:rsid w:val="00A264A9"/>
    <w:rsid w:val="00A26FEB"/>
    <w:rsid w:val="00A27785"/>
    <w:rsid w:val="00A279F9"/>
    <w:rsid w:val="00A30187"/>
    <w:rsid w:val="00A302CD"/>
    <w:rsid w:val="00A305C5"/>
    <w:rsid w:val="00A30E8E"/>
    <w:rsid w:val="00A3189F"/>
    <w:rsid w:val="00A322FA"/>
    <w:rsid w:val="00A32FF2"/>
    <w:rsid w:val="00A33565"/>
    <w:rsid w:val="00A3448A"/>
    <w:rsid w:val="00A35342"/>
    <w:rsid w:val="00A35C41"/>
    <w:rsid w:val="00A36297"/>
    <w:rsid w:val="00A36660"/>
    <w:rsid w:val="00A379BB"/>
    <w:rsid w:val="00A40006"/>
    <w:rsid w:val="00A40FE3"/>
    <w:rsid w:val="00A41388"/>
    <w:rsid w:val="00A41AE4"/>
    <w:rsid w:val="00A41E2B"/>
    <w:rsid w:val="00A45B74"/>
    <w:rsid w:val="00A4662B"/>
    <w:rsid w:val="00A476AE"/>
    <w:rsid w:val="00A47E96"/>
    <w:rsid w:val="00A5042C"/>
    <w:rsid w:val="00A505E8"/>
    <w:rsid w:val="00A50EAD"/>
    <w:rsid w:val="00A51A86"/>
    <w:rsid w:val="00A525E4"/>
    <w:rsid w:val="00A525E8"/>
    <w:rsid w:val="00A52CDE"/>
    <w:rsid w:val="00A52E1D"/>
    <w:rsid w:val="00A53C10"/>
    <w:rsid w:val="00A55250"/>
    <w:rsid w:val="00A56217"/>
    <w:rsid w:val="00A56C37"/>
    <w:rsid w:val="00A572F7"/>
    <w:rsid w:val="00A57425"/>
    <w:rsid w:val="00A60031"/>
    <w:rsid w:val="00A607A2"/>
    <w:rsid w:val="00A60CE6"/>
    <w:rsid w:val="00A61499"/>
    <w:rsid w:val="00A61606"/>
    <w:rsid w:val="00A62A50"/>
    <w:rsid w:val="00A62A77"/>
    <w:rsid w:val="00A63483"/>
    <w:rsid w:val="00A638A7"/>
    <w:rsid w:val="00A63D3C"/>
    <w:rsid w:val="00A657D7"/>
    <w:rsid w:val="00A660AC"/>
    <w:rsid w:val="00A66A35"/>
    <w:rsid w:val="00A66ACD"/>
    <w:rsid w:val="00A66F55"/>
    <w:rsid w:val="00A672BC"/>
    <w:rsid w:val="00A673C2"/>
    <w:rsid w:val="00A67D6D"/>
    <w:rsid w:val="00A67E6C"/>
    <w:rsid w:val="00A71694"/>
    <w:rsid w:val="00A71B99"/>
    <w:rsid w:val="00A71FD6"/>
    <w:rsid w:val="00A725E8"/>
    <w:rsid w:val="00A7306C"/>
    <w:rsid w:val="00A736BB"/>
    <w:rsid w:val="00A739D0"/>
    <w:rsid w:val="00A75C1D"/>
    <w:rsid w:val="00A761D4"/>
    <w:rsid w:val="00A7789A"/>
    <w:rsid w:val="00A77E32"/>
    <w:rsid w:val="00A77EC4"/>
    <w:rsid w:val="00A80BBC"/>
    <w:rsid w:val="00A8211B"/>
    <w:rsid w:val="00A82994"/>
    <w:rsid w:val="00A83338"/>
    <w:rsid w:val="00A83C52"/>
    <w:rsid w:val="00A84256"/>
    <w:rsid w:val="00A84FEF"/>
    <w:rsid w:val="00A86525"/>
    <w:rsid w:val="00A86ABE"/>
    <w:rsid w:val="00A90B04"/>
    <w:rsid w:val="00A91415"/>
    <w:rsid w:val="00A92879"/>
    <w:rsid w:val="00A9331D"/>
    <w:rsid w:val="00A93E6F"/>
    <w:rsid w:val="00A93F1F"/>
    <w:rsid w:val="00A9442A"/>
    <w:rsid w:val="00A94845"/>
    <w:rsid w:val="00A965F8"/>
    <w:rsid w:val="00AA016F"/>
    <w:rsid w:val="00AA1ED6"/>
    <w:rsid w:val="00AA510E"/>
    <w:rsid w:val="00AA51D6"/>
    <w:rsid w:val="00AA57EC"/>
    <w:rsid w:val="00AA6DE6"/>
    <w:rsid w:val="00AA7965"/>
    <w:rsid w:val="00AA7D65"/>
    <w:rsid w:val="00AB06DB"/>
    <w:rsid w:val="00AB0BC8"/>
    <w:rsid w:val="00AB0F0C"/>
    <w:rsid w:val="00AB11CA"/>
    <w:rsid w:val="00AB1435"/>
    <w:rsid w:val="00AB14D9"/>
    <w:rsid w:val="00AB17FF"/>
    <w:rsid w:val="00AB20C1"/>
    <w:rsid w:val="00AB2A57"/>
    <w:rsid w:val="00AB4AB8"/>
    <w:rsid w:val="00AB4F4A"/>
    <w:rsid w:val="00AB655E"/>
    <w:rsid w:val="00AB7DB3"/>
    <w:rsid w:val="00AC007F"/>
    <w:rsid w:val="00AC1284"/>
    <w:rsid w:val="00AC2874"/>
    <w:rsid w:val="00AC2A79"/>
    <w:rsid w:val="00AC2ECD"/>
    <w:rsid w:val="00AC3096"/>
    <w:rsid w:val="00AC3119"/>
    <w:rsid w:val="00AC3880"/>
    <w:rsid w:val="00AC3A30"/>
    <w:rsid w:val="00AC3DBC"/>
    <w:rsid w:val="00AC440B"/>
    <w:rsid w:val="00AC4834"/>
    <w:rsid w:val="00AC49FB"/>
    <w:rsid w:val="00AC4CF9"/>
    <w:rsid w:val="00AC4E22"/>
    <w:rsid w:val="00AC5A10"/>
    <w:rsid w:val="00AC7C10"/>
    <w:rsid w:val="00AC7C2D"/>
    <w:rsid w:val="00AD0AA3"/>
    <w:rsid w:val="00AD0F97"/>
    <w:rsid w:val="00AD27B6"/>
    <w:rsid w:val="00AD2831"/>
    <w:rsid w:val="00AD2EAA"/>
    <w:rsid w:val="00AD3F94"/>
    <w:rsid w:val="00AD4244"/>
    <w:rsid w:val="00AD4A30"/>
    <w:rsid w:val="00AD4A38"/>
    <w:rsid w:val="00AD4A5A"/>
    <w:rsid w:val="00AD512D"/>
    <w:rsid w:val="00AD65C2"/>
    <w:rsid w:val="00AD6A49"/>
    <w:rsid w:val="00AD7298"/>
    <w:rsid w:val="00AD753D"/>
    <w:rsid w:val="00AD7958"/>
    <w:rsid w:val="00AE0262"/>
    <w:rsid w:val="00AE0661"/>
    <w:rsid w:val="00AE09FD"/>
    <w:rsid w:val="00AE2392"/>
    <w:rsid w:val="00AE27AC"/>
    <w:rsid w:val="00AE3743"/>
    <w:rsid w:val="00AE3C80"/>
    <w:rsid w:val="00AE40E0"/>
    <w:rsid w:val="00AE4DBA"/>
    <w:rsid w:val="00AE4F07"/>
    <w:rsid w:val="00AE5991"/>
    <w:rsid w:val="00AE65DA"/>
    <w:rsid w:val="00AE7E2D"/>
    <w:rsid w:val="00AF0BFC"/>
    <w:rsid w:val="00AF0ED8"/>
    <w:rsid w:val="00AF1C5D"/>
    <w:rsid w:val="00AF23DA"/>
    <w:rsid w:val="00AF24AA"/>
    <w:rsid w:val="00AF2811"/>
    <w:rsid w:val="00AF281A"/>
    <w:rsid w:val="00AF2926"/>
    <w:rsid w:val="00AF37B5"/>
    <w:rsid w:val="00AF3C0A"/>
    <w:rsid w:val="00AF42D7"/>
    <w:rsid w:val="00AF7AFF"/>
    <w:rsid w:val="00AF7CA0"/>
    <w:rsid w:val="00B006FE"/>
    <w:rsid w:val="00B007CB"/>
    <w:rsid w:val="00B02AA9"/>
    <w:rsid w:val="00B02C70"/>
    <w:rsid w:val="00B02FA3"/>
    <w:rsid w:val="00B03535"/>
    <w:rsid w:val="00B03BC1"/>
    <w:rsid w:val="00B0453D"/>
    <w:rsid w:val="00B04A7C"/>
    <w:rsid w:val="00B04CF4"/>
    <w:rsid w:val="00B05084"/>
    <w:rsid w:val="00B0691C"/>
    <w:rsid w:val="00B0774D"/>
    <w:rsid w:val="00B10EA9"/>
    <w:rsid w:val="00B121FC"/>
    <w:rsid w:val="00B13739"/>
    <w:rsid w:val="00B1411D"/>
    <w:rsid w:val="00B1420D"/>
    <w:rsid w:val="00B157F9"/>
    <w:rsid w:val="00B15A4E"/>
    <w:rsid w:val="00B1684A"/>
    <w:rsid w:val="00B16FEB"/>
    <w:rsid w:val="00B20256"/>
    <w:rsid w:val="00B20D09"/>
    <w:rsid w:val="00B21B76"/>
    <w:rsid w:val="00B21E77"/>
    <w:rsid w:val="00B2237A"/>
    <w:rsid w:val="00B23201"/>
    <w:rsid w:val="00B2345F"/>
    <w:rsid w:val="00B23C08"/>
    <w:rsid w:val="00B24F20"/>
    <w:rsid w:val="00B2763F"/>
    <w:rsid w:val="00B27AAC"/>
    <w:rsid w:val="00B30929"/>
    <w:rsid w:val="00B30E0C"/>
    <w:rsid w:val="00B30F63"/>
    <w:rsid w:val="00B31DF5"/>
    <w:rsid w:val="00B32BB7"/>
    <w:rsid w:val="00B33A1F"/>
    <w:rsid w:val="00B34DB0"/>
    <w:rsid w:val="00B34FA2"/>
    <w:rsid w:val="00B35908"/>
    <w:rsid w:val="00B372AA"/>
    <w:rsid w:val="00B3781A"/>
    <w:rsid w:val="00B40445"/>
    <w:rsid w:val="00B41888"/>
    <w:rsid w:val="00B42E70"/>
    <w:rsid w:val="00B45A52"/>
    <w:rsid w:val="00B46175"/>
    <w:rsid w:val="00B506EE"/>
    <w:rsid w:val="00B51300"/>
    <w:rsid w:val="00B51764"/>
    <w:rsid w:val="00B51AE8"/>
    <w:rsid w:val="00B53AF1"/>
    <w:rsid w:val="00B5403A"/>
    <w:rsid w:val="00B541F2"/>
    <w:rsid w:val="00B543EF"/>
    <w:rsid w:val="00B54B31"/>
    <w:rsid w:val="00B60043"/>
    <w:rsid w:val="00B607F1"/>
    <w:rsid w:val="00B60AD6"/>
    <w:rsid w:val="00B60B87"/>
    <w:rsid w:val="00B6188F"/>
    <w:rsid w:val="00B61BF2"/>
    <w:rsid w:val="00B62806"/>
    <w:rsid w:val="00B628E5"/>
    <w:rsid w:val="00B63EC4"/>
    <w:rsid w:val="00B648A5"/>
    <w:rsid w:val="00B64B75"/>
    <w:rsid w:val="00B664C7"/>
    <w:rsid w:val="00B66900"/>
    <w:rsid w:val="00B70144"/>
    <w:rsid w:val="00B7048C"/>
    <w:rsid w:val="00B70DDF"/>
    <w:rsid w:val="00B70E85"/>
    <w:rsid w:val="00B71459"/>
    <w:rsid w:val="00B72DB7"/>
    <w:rsid w:val="00B739F6"/>
    <w:rsid w:val="00B73DA5"/>
    <w:rsid w:val="00B742D0"/>
    <w:rsid w:val="00B74422"/>
    <w:rsid w:val="00B76017"/>
    <w:rsid w:val="00B77B19"/>
    <w:rsid w:val="00B77F85"/>
    <w:rsid w:val="00B80172"/>
    <w:rsid w:val="00B80A57"/>
    <w:rsid w:val="00B80BCA"/>
    <w:rsid w:val="00B81476"/>
    <w:rsid w:val="00B81865"/>
    <w:rsid w:val="00B81A6C"/>
    <w:rsid w:val="00B843C3"/>
    <w:rsid w:val="00B849A1"/>
    <w:rsid w:val="00B85C93"/>
    <w:rsid w:val="00B85DE5"/>
    <w:rsid w:val="00B86F43"/>
    <w:rsid w:val="00B87D4E"/>
    <w:rsid w:val="00B90F73"/>
    <w:rsid w:val="00B93B59"/>
    <w:rsid w:val="00B93FE6"/>
    <w:rsid w:val="00B94015"/>
    <w:rsid w:val="00B9406A"/>
    <w:rsid w:val="00B94BD9"/>
    <w:rsid w:val="00B95078"/>
    <w:rsid w:val="00B95D11"/>
    <w:rsid w:val="00B97497"/>
    <w:rsid w:val="00B9757A"/>
    <w:rsid w:val="00B976E7"/>
    <w:rsid w:val="00BA2280"/>
    <w:rsid w:val="00BA2858"/>
    <w:rsid w:val="00BA2A08"/>
    <w:rsid w:val="00BA2BAC"/>
    <w:rsid w:val="00BA3FD6"/>
    <w:rsid w:val="00BA49EE"/>
    <w:rsid w:val="00BA5130"/>
    <w:rsid w:val="00BA56D2"/>
    <w:rsid w:val="00BA5ACA"/>
    <w:rsid w:val="00BA5E7E"/>
    <w:rsid w:val="00BA6594"/>
    <w:rsid w:val="00BA7606"/>
    <w:rsid w:val="00BA76E0"/>
    <w:rsid w:val="00BB0168"/>
    <w:rsid w:val="00BB2244"/>
    <w:rsid w:val="00BB2A25"/>
    <w:rsid w:val="00BB51E9"/>
    <w:rsid w:val="00BB73C1"/>
    <w:rsid w:val="00BC0873"/>
    <w:rsid w:val="00BC0F21"/>
    <w:rsid w:val="00BC0FDC"/>
    <w:rsid w:val="00BC1968"/>
    <w:rsid w:val="00BC2369"/>
    <w:rsid w:val="00BC2DFB"/>
    <w:rsid w:val="00BC3053"/>
    <w:rsid w:val="00BC4CEE"/>
    <w:rsid w:val="00BC4D2E"/>
    <w:rsid w:val="00BC6172"/>
    <w:rsid w:val="00BC709F"/>
    <w:rsid w:val="00BC70DF"/>
    <w:rsid w:val="00BD1304"/>
    <w:rsid w:val="00BD48AC"/>
    <w:rsid w:val="00BD5A5D"/>
    <w:rsid w:val="00BD5F1A"/>
    <w:rsid w:val="00BD6DE2"/>
    <w:rsid w:val="00BD713B"/>
    <w:rsid w:val="00BE1234"/>
    <w:rsid w:val="00BE22EF"/>
    <w:rsid w:val="00BE2FA6"/>
    <w:rsid w:val="00BE30BE"/>
    <w:rsid w:val="00BE31BB"/>
    <w:rsid w:val="00BE333F"/>
    <w:rsid w:val="00BE4D81"/>
    <w:rsid w:val="00BE67DF"/>
    <w:rsid w:val="00BE6DB4"/>
    <w:rsid w:val="00BE7406"/>
    <w:rsid w:val="00BE7603"/>
    <w:rsid w:val="00BE7B6B"/>
    <w:rsid w:val="00BF02B0"/>
    <w:rsid w:val="00BF090D"/>
    <w:rsid w:val="00BF2A40"/>
    <w:rsid w:val="00BF3279"/>
    <w:rsid w:val="00BF3B64"/>
    <w:rsid w:val="00BF48F3"/>
    <w:rsid w:val="00BF4A4D"/>
    <w:rsid w:val="00BF55ED"/>
    <w:rsid w:val="00BF57E8"/>
    <w:rsid w:val="00BF5AD5"/>
    <w:rsid w:val="00BF6387"/>
    <w:rsid w:val="00BF6653"/>
    <w:rsid w:val="00BF74C7"/>
    <w:rsid w:val="00C00731"/>
    <w:rsid w:val="00C00E16"/>
    <w:rsid w:val="00C015F1"/>
    <w:rsid w:val="00C01E01"/>
    <w:rsid w:val="00C01F33"/>
    <w:rsid w:val="00C02CC6"/>
    <w:rsid w:val="00C03C26"/>
    <w:rsid w:val="00C040F7"/>
    <w:rsid w:val="00C041B0"/>
    <w:rsid w:val="00C044AB"/>
    <w:rsid w:val="00C0472A"/>
    <w:rsid w:val="00C049A5"/>
    <w:rsid w:val="00C05706"/>
    <w:rsid w:val="00C063E4"/>
    <w:rsid w:val="00C066BA"/>
    <w:rsid w:val="00C06951"/>
    <w:rsid w:val="00C06B0D"/>
    <w:rsid w:val="00C07377"/>
    <w:rsid w:val="00C07993"/>
    <w:rsid w:val="00C07B13"/>
    <w:rsid w:val="00C10478"/>
    <w:rsid w:val="00C10E51"/>
    <w:rsid w:val="00C12107"/>
    <w:rsid w:val="00C129D5"/>
    <w:rsid w:val="00C13718"/>
    <w:rsid w:val="00C14D4B"/>
    <w:rsid w:val="00C154BB"/>
    <w:rsid w:val="00C15D31"/>
    <w:rsid w:val="00C17129"/>
    <w:rsid w:val="00C17B9F"/>
    <w:rsid w:val="00C17C39"/>
    <w:rsid w:val="00C21A98"/>
    <w:rsid w:val="00C21C84"/>
    <w:rsid w:val="00C237DD"/>
    <w:rsid w:val="00C24345"/>
    <w:rsid w:val="00C25DB5"/>
    <w:rsid w:val="00C25EEA"/>
    <w:rsid w:val="00C272F7"/>
    <w:rsid w:val="00C279B5"/>
    <w:rsid w:val="00C27C45"/>
    <w:rsid w:val="00C3057B"/>
    <w:rsid w:val="00C3066E"/>
    <w:rsid w:val="00C3144A"/>
    <w:rsid w:val="00C32E7A"/>
    <w:rsid w:val="00C34166"/>
    <w:rsid w:val="00C35006"/>
    <w:rsid w:val="00C36AFA"/>
    <w:rsid w:val="00C3719D"/>
    <w:rsid w:val="00C3720A"/>
    <w:rsid w:val="00C376DD"/>
    <w:rsid w:val="00C401DA"/>
    <w:rsid w:val="00C40307"/>
    <w:rsid w:val="00C404BB"/>
    <w:rsid w:val="00C40582"/>
    <w:rsid w:val="00C46555"/>
    <w:rsid w:val="00C46A9A"/>
    <w:rsid w:val="00C46ED7"/>
    <w:rsid w:val="00C47802"/>
    <w:rsid w:val="00C5006A"/>
    <w:rsid w:val="00C50FD7"/>
    <w:rsid w:val="00C5281D"/>
    <w:rsid w:val="00C52D32"/>
    <w:rsid w:val="00C53150"/>
    <w:rsid w:val="00C53184"/>
    <w:rsid w:val="00C54995"/>
    <w:rsid w:val="00C54D41"/>
    <w:rsid w:val="00C55D8C"/>
    <w:rsid w:val="00C5765E"/>
    <w:rsid w:val="00C57DE3"/>
    <w:rsid w:val="00C60783"/>
    <w:rsid w:val="00C61306"/>
    <w:rsid w:val="00C6163C"/>
    <w:rsid w:val="00C616FB"/>
    <w:rsid w:val="00C61FE2"/>
    <w:rsid w:val="00C64672"/>
    <w:rsid w:val="00C64F7C"/>
    <w:rsid w:val="00C652FF"/>
    <w:rsid w:val="00C65400"/>
    <w:rsid w:val="00C658B9"/>
    <w:rsid w:val="00C665A9"/>
    <w:rsid w:val="00C677DD"/>
    <w:rsid w:val="00C70697"/>
    <w:rsid w:val="00C7196D"/>
    <w:rsid w:val="00C72EF4"/>
    <w:rsid w:val="00C737C2"/>
    <w:rsid w:val="00C73C27"/>
    <w:rsid w:val="00C745D7"/>
    <w:rsid w:val="00C74BDB"/>
    <w:rsid w:val="00C74E3D"/>
    <w:rsid w:val="00C75D2F"/>
    <w:rsid w:val="00C761B4"/>
    <w:rsid w:val="00C767BE"/>
    <w:rsid w:val="00C7691C"/>
    <w:rsid w:val="00C76E3C"/>
    <w:rsid w:val="00C7742D"/>
    <w:rsid w:val="00C8009D"/>
    <w:rsid w:val="00C80F41"/>
    <w:rsid w:val="00C81076"/>
    <w:rsid w:val="00C8130B"/>
    <w:rsid w:val="00C81568"/>
    <w:rsid w:val="00C81C17"/>
    <w:rsid w:val="00C82390"/>
    <w:rsid w:val="00C82910"/>
    <w:rsid w:val="00C82FB9"/>
    <w:rsid w:val="00C84929"/>
    <w:rsid w:val="00C8663A"/>
    <w:rsid w:val="00C9027A"/>
    <w:rsid w:val="00C9068E"/>
    <w:rsid w:val="00C9104F"/>
    <w:rsid w:val="00C91B1F"/>
    <w:rsid w:val="00C92805"/>
    <w:rsid w:val="00C92EF5"/>
    <w:rsid w:val="00C93075"/>
    <w:rsid w:val="00C93C4B"/>
    <w:rsid w:val="00C93F6D"/>
    <w:rsid w:val="00C944AB"/>
    <w:rsid w:val="00C95A9C"/>
    <w:rsid w:val="00C95B40"/>
    <w:rsid w:val="00C96F3D"/>
    <w:rsid w:val="00CA1ED8"/>
    <w:rsid w:val="00CA3645"/>
    <w:rsid w:val="00CA45B8"/>
    <w:rsid w:val="00CA47CB"/>
    <w:rsid w:val="00CA4B33"/>
    <w:rsid w:val="00CA5B70"/>
    <w:rsid w:val="00CA6810"/>
    <w:rsid w:val="00CA6FB4"/>
    <w:rsid w:val="00CA6FFB"/>
    <w:rsid w:val="00CA7806"/>
    <w:rsid w:val="00CA7D6A"/>
    <w:rsid w:val="00CB1F63"/>
    <w:rsid w:val="00CB29C1"/>
    <w:rsid w:val="00CB4246"/>
    <w:rsid w:val="00CB5EBB"/>
    <w:rsid w:val="00CB6AF6"/>
    <w:rsid w:val="00CB7170"/>
    <w:rsid w:val="00CB735C"/>
    <w:rsid w:val="00CB7779"/>
    <w:rsid w:val="00CC003F"/>
    <w:rsid w:val="00CC040E"/>
    <w:rsid w:val="00CC111F"/>
    <w:rsid w:val="00CC1DF5"/>
    <w:rsid w:val="00CC2011"/>
    <w:rsid w:val="00CC2710"/>
    <w:rsid w:val="00CC3EA0"/>
    <w:rsid w:val="00CC4E60"/>
    <w:rsid w:val="00CC4E8C"/>
    <w:rsid w:val="00CC4F4E"/>
    <w:rsid w:val="00CC71D3"/>
    <w:rsid w:val="00CC75D2"/>
    <w:rsid w:val="00CC7B45"/>
    <w:rsid w:val="00CC7C45"/>
    <w:rsid w:val="00CC7F43"/>
    <w:rsid w:val="00CD0CAD"/>
    <w:rsid w:val="00CD1188"/>
    <w:rsid w:val="00CD1986"/>
    <w:rsid w:val="00CD2DD4"/>
    <w:rsid w:val="00CD2ED1"/>
    <w:rsid w:val="00CD3055"/>
    <w:rsid w:val="00CD337B"/>
    <w:rsid w:val="00CD339D"/>
    <w:rsid w:val="00CD4AF1"/>
    <w:rsid w:val="00CD6BA7"/>
    <w:rsid w:val="00CD773E"/>
    <w:rsid w:val="00CE0424"/>
    <w:rsid w:val="00CE0D20"/>
    <w:rsid w:val="00CE13F3"/>
    <w:rsid w:val="00CE2064"/>
    <w:rsid w:val="00CE3EB9"/>
    <w:rsid w:val="00CE3FEB"/>
    <w:rsid w:val="00CE449D"/>
    <w:rsid w:val="00CE4B8B"/>
    <w:rsid w:val="00CE5AF1"/>
    <w:rsid w:val="00CE5F26"/>
    <w:rsid w:val="00CE64F9"/>
    <w:rsid w:val="00CE6CFB"/>
    <w:rsid w:val="00CE6D73"/>
    <w:rsid w:val="00CE7561"/>
    <w:rsid w:val="00CE7828"/>
    <w:rsid w:val="00CF1354"/>
    <w:rsid w:val="00CF177D"/>
    <w:rsid w:val="00CF1CF1"/>
    <w:rsid w:val="00CF240D"/>
    <w:rsid w:val="00CF3B1F"/>
    <w:rsid w:val="00CF3BF6"/>
    <w:rsid w:val="00CF3DDC"/>
    <w:rsid w:val="00CF49C5"/>
    <w:rsid w:val="00CF52BB"/>
    <w:rsid w:val="00CF5336"/>
    <w:rsid w:val="00CF533B"/>
    <w:rsid w:val="00CF537C"/>
    <w:rsid w:val="00CF602B"/>
    <w:rsid w:val="00CF625B"/>
    <w:rsid w:val="00CF6506"/>
    <w:rsid w:val="00CF687E"/>
    <w:rsid w:val="00CF6E1E"/>
    <w:rsid w:val="00D00132"/>
    <w:rsid w:val="00D01208"/>
    <w:rsid w:val="00D01B5F"/>
    <w:rsid w:val="00D0215C"/>
    <w:rsid w:val="00D033C5"/>
    <w:rsid w:val="00D0349B"/>
    <w:rsid w:val="00D0350A"/>
    <w:rsid w:val="00D036EE"/>
    <w:rsid w:val="00D0494B"/>
    <w:rsid w:val="00D04F76"/>
    <w:rsid w:val="00D05BFC"/>
    <w:rsid w:val="00D060D7"/>
    <w:rsid w:val="00D06C67"/>
    <w:rsid w:val="00D06FDC"/>
    <w:rsid w:val="00D07621"/>
    <w:rsid w:val="00D10249"/>
    <w:rsid w:val="00D111D2"/>
    <w:rsid w:val="00D1145B"/>
    <w:rsid w:val="00D115C3"/>
    <w:rsid w:val="00D11897"/>
    <w:rsid w:val="00D13135"/>
    <w:rsid w:val="00D13E4E"/>
    <w:rsid w:val="00D1465A"/>
    <w:rsid w:val="00D14A65"/>
    <w:rsid w:val="00D14D3F"/>
    <w:rsid w:val="00D16ABF"/>
    <w:rsid w:val="00D1736B"/>
    <w:rsid w:val="00D17C2D"/>
    <w:rsid w:val="00D20FAD"/>
    <w:rsid w:val="00D21096"/>
    <w:rsid w:val="00D21BC1"/>
    <w:rsid w:val="00D21CE4"/>
    <w:rsid w:val="00D226BF"/>
    <w:rsid w:val="00D22D79"/>
    <w:rsid w:val="00D2360B"/>
    <w:rsid w:val="00D239A7"/>
    <w:rsid w:val="00D23F47"/>
    <w:rsid w:val="00D2521D"/>
    <w:rsid w:val="00D2592D"/>
    <w:rsid w:val="00D26997"/>
    <w:rsid w:val="00D27FEF"/>
    <w:rsid w:val="00D30326"/>
    <w:rsid w:val="00D30F00"/>
    <w:rsid w:val="00D31250"/>
    <w:rsid w:val="00D31602"/>
    <w:rsid w:val="00D31ABE"/>
    <w:rsid w:val="00D3231D"/>
    <w:rsid w:val="00D323F0"/>
    <w:rsid w:val="00D32D15"/>
    <w:rsid w:val="00D35EB9"/>
    <w:rsid w:val="00D36C2F"/>
    <w:rsid w:val="00D36CCA"/>
    <w:rsid w:val="00D36E70"/>
    <w:rsid w:val="00D36E71"/>
    <w:rsid w:val="00D373B5"/>
    <w:rsid w:val="00D37938"/>
    <w:rsid w:val="00D37D87"/>
    <w:rsid w:val="00D40B33"/>
    <w:rsid w:val="00D4160D"/>
    <w:rsid w:val="00D42192"/>
    <w:rsid w:val="00D4252A"/>
    <w:rsid w:val="00D4318F"/>
    <w:rsid w:val="00D438BF"/>
    <w:rsid w:val="00D440F8"/>
    <w:rsid w:val="00D44569"/>
    <w:rsid w:val="00D46ED9"/>
    <w:rsid w:val="00D50109"/>
    <w:rsid w:val="00D50F97"/>
    <w:rsid w:val="00D5120F"/>
    <w:rsid w:val="00D514F6"/>
    <w:rsid w:val="00D51A03"/>
    <w:rsid w:val="00D527A8"/>
    <w:rsid w:val="00D528B1"/>
    <w:rsid w:val="00D53385"/>
    <w:rsid w:val="00D53528"/>
    <w:rsid w:val="00D546FF"/>
    <w:rsid w:val="00D54F27"/>
    <w:rsid w:val="00D557CD"/>
    <w:rsid w:val="00D55AD5"/>
    <w:rsid w:val="00D56D0B"/>
    <w:rsid w:val="00D576CA"/>
    <w:rsid w:val="00D616A5"/>
    <w:rsid w:val="00D61AF5"/>
    <w:rsid w:val="00D61BBA"/>
    <w:rsid w:val="00D61FE0"/>
    <w:rsid w:val="00D62594"/>
    <w:rsid w:val="00D626E7"/>
    <w:rsid w:val="00D63521"/>
    <w:rsid w:val="00D6381A"/>
    <w:rsid w:val="00D63D8E"/>
    <w:rsid w:val="00D652B5"/>
    <w:rsid w:val="00D658B1"/>
    <w:rsid w:val="00D65AD3"/>
    <w:rsid w:val="00D65F9D"/>
    <w:rsid w:val="00D66155"/>
    <w:rsid w:val="00D663C6"/>
    <w:rsid w:val="00D66655"/>
    <w:rsid w:val="00D678B2"/>
    <w:rsid w:val="00D67A8D"/>
    <w:rsid w:val="00D7049B"/>
    <w:rsid w:val="00D70585"/>
    <w:rsid w:val="00D708B0"/>
    <w:rsid w:val="00D716B1"/>
    <w:rsid w:val="00D7296F"/>
    <w:rsid w:val="00D72AD5"/>
    <w:rsid w:val="00D74301"/>
    <w:rsid w:val="00D74D01"/>
    <w:rsid w:val="00D75AD9"/>
    <w:rsid w:val="00D76073"/>
    <w:rsid w:val="00D76E5D"/>
    <w:rsid w:val="00D76FD4"/>
    <w:rsid w:val="00D7708D"/>
    <w:rsid w:val="00D77B1D"/>
    <w:rsid w:val="00D77B64"/>
    <w:rsid w:val="00D8021F"/>
    <w:rsid w:val="00D80383"/>
    <w:rsid w:val="00D80C69"/>
    <w:rsid w:val="00D823C6"/>
    <w:rsid w:val="00D82B07"/>
    <w:rsid w:val="00D82E02"/>
    <w:rsid w:val="00D83A1C"/>
    <w:rsid w:val="00D83B35"/>
    <w:rsid w:val="00D84103"/>
    <w:rsid w:val="00D84FAB"/>
    <w:rsid w:val="00D86CA3"/>
    <w:rsid w:val="00D871CE"/>
    <w:rsid w:val="00D87B8B"/>
    <w:rsid w:val="00D87CAD"/>
    <w:rsid w:val="00D87F80"/>
    <w:rsid w:val="00D900D0"/>
    <w:rsid w:val="00D909D7"/>
    <w:rsid w:val="00D914A7"/>
    <w:rsid w:val="00D914F8"/>
    <w:rsid w:val="00D9196D"/>
    <w:rsid w:val="00D92100"/>
    <w:rsid w:val="00D92982"/>
    <w:rsid w:val="00D93DF4"/>
    <w:rsid w:val="00D96F1C"/>
    <w:rsid w:val="00D978FD"/>
    <w:rsid w:val="00D97CCE"/>
    <w:rsid w:val="00DA0ABD"/>
    <w:rsid w:val="00DA0F78"/>
    <w:rsid w:val="00DA305E"/>
    <w:rsid w:val="00DA3454"/>
    <w:rsid w:val="00DA37CA"/>
    <w:rsid w:val="00DA5417"/>
    <w:rsid w:val="00DA56E8"/>
    <w:rsid w:val="00DA654E"/>
    <w:rsid w:val="00DA656C"/>
    <w:rsid w:val="00DA7191"/>
    <w:rsid w:val="00DA76FD"/>
    <w:rsid w:val="00DB06C8"/>
    <w:rsid w:val="00DB0A9F"/>
    <w:rsid w:val="00DB1399"/>
    <w:rsid w:val="00DB2BA0"/>
    <w:rsid w:val="00DB2E5E"/>
    <w:rsid w:val="00DB2E96"/>
    <w:rsid w:val="00DB377D"/>
    <w:rsid w:val="00DB3EA5"/>
    <w:rsid w:val="00DB4566"/>
    <w:rsid w:val="00DB5549"/>
    <w:rsid w:val="00DB60E8"/>
    <w:rsid w:val="00DB76E1"/>
    <w:rsid w:val="00DC1091"/>
    <w:rsid w:val="00DC1978"/>
    <w:rsid w:val="00DC2846"/>
    <w:rsid w:val="00DC2AC9"/>
    <w:rsid w:val="00DC2D36"/>
    <w:rsid w:val="00DC2D81"/>
    <w:rsid w:val="00DC4B5B"/>
    <w:rsid w:val="00DC4C71"/>
    <w:rsid w:val="00DC53EF"/>
    <w:rsid w:val="00DD0B5C"/>
    <w:rsid w:val="00DD10B1"/>
    <w:rsid w:val="00DD53A7"/>
    <w:rsid w:val="00DD5C7C"/>
    <w:rsid w:val="00DD6BEA"/>
    <w:rsid w:val="00DE0C0F"/>
    <w:rsid w:val="00DE184A"/>
    <w:rsid w:val="00DE26A6"/>
    <w:rsid w:val="00DE2F1D"/>
    <w:rsid w:val="00DE3AD1"/>
    <w:rsid w:val="00DE3C08"/>
    <w:rsid w:val="00DE4566"/>
    <w:rsid w:val="00DE5608"/>
    <w:rsid w:val="00DE58D0"/>
    <w:rsid w:val="00DE654F"/>
    <w:rsid w:val="00DE67BC"/>
    <w:rsid w:val="00DE702D"/>
    <w:rsid w:val="00DE70B3"/>
    <w:rsid w:val="00DE79A9"/>
    <w:rsid w:val="00DF0613"/>
    <w:rsid w:val="00DF0B6E"/>
    <w:rsid w:val="00DF0E00"/>
    <w:rsid w:val="00DF13CB"/>
    <w:rsid w:val="00DF15E0"/>
    <w:rsid w:val="00DF1B14"/>
    <w:rsid w:val="00DF2E83"/>
    <w:rsid w:val="00DF365F"/>
    <w:rsid w:val="00DF37A0"/>
    <w:rsid w:val="00DF3F68"/>
    <w:rsid w:val="00DF4E52"/>
    <w:rsid w:val="00DF55D2"/>
    <w:rsid w:val="00DF59D8"/>
    <w:rsid w:val="00DF5A51"/>
    <w:rsid w:val="00DF5B2A"/>
    <w:rsid w:val="00DF63EF"/>
    <w:rsid w:val="00DF71BA"/>
    <w:rsid w:val="00DF7887"/>
    <w:rsid w:val="00DF7B3E"/>
    <w:rsid w:val="00E00749"/>
    <w:rsid w:val="00E02D3C"/>
    <w:rsid w:val="00E03605"/>
    <w:rsid w:val="00E0477A"/>
    <w:rsid w:val="00E0558A"/>
    <w:rsid w:val="00E0615D"/>
    <w:rsid w:val="00E07524"/>
    <w:rsid w:val="00E10937"/>
    <w:rsid w:val="00E10CC9"/>
    <w:rsid w:val="00E10D65"/>
    <w:rsid w:val="00E110E7"/>
    <w:rsid w:val="00E115F3"/>
    <w:rsid w:val="00E11B20"/>
    <w:rsid w:val="00E12889"/>
    <w:rsid w:val="00E147D5"/>
    <w:rsid w:val="00E15A7E"/>
    <w:rsid w:val="00E15ED6"/>
    <w:rsid w:val="00E16D9C"/>
    <w:rsid w:val="00E178D4"/>
    <w:rsid w:val="00E17FA2"/>
    <w:rsid w:val="00E20077"/>
    <w:rsid w:val="00E202DD"/>
    <w:rsid w:val="00E20F50"/>
    <w:rsid w:val="00E2109D"/>
    <w:rsid w:val="00E218CD"/>
    <w:rsid w:val="00E22330"/>
    <w:rsid w:val="00E234C3"/>
    <w:rsid w:val="00E24AD6"/>
    <w:rsid w:val="00E25488"/>
    <w:rsid w:val="00E260AB"/>
    <w:rsid w:val="00E277C9"/>
    <w:rsid w:val="00E30466"/>
    <w:rsid w:val="00E30B5A"/>
    <w:rsid w:val="00E3123D"/>
    <w:rsid w:val="00E31461"/>
    <w:rsid w:val="00E31D43"/>
    <w:rsid w:val="00E32608"/>
    <w:rsid w:val="00E3409C"/>
    <w:rsid w:val="00E34188"/>
    <w:rsid w:val="00E34B6E"/>
    <w:rsid w:val="00E354A4"/>
    <w:rsid w:val="00E35559"/>
    <w:rsid w:val="00E35737"/>
    <w:rsid w:val="00E3723A"/>
    <w:rsid w:val="00E37687"/>
    <w:rsid w:val="00E37860"/>
    <w:rsid w:val="00E43544"/>
    <w:rsid w:val="00E436F1"/>
    <w:rsid w:val="00E43AF8"/>
    <w:rsid w:val="00E441BE"/>
    <w:rsid w:val="00E446F1"/>
    <w:rsid w:val="00E4474B"/>
    <w:rsid w:val="00E45C3D"/>
    <w:rsid w:val="00E464D6"/>
    <w:rsid w:val="00E46886"/>
    <w:rsid w:val="00E46D5A"/>
    <w:rsid w:val="00E46D7D"/>
    <w:rsid w:val="00E47AEF"/>
    <w:rsid w:val="00E5012F"/>
    <w:rsid w:val="00E51CF5"/>
    <w:rsid w:val="00E531C2"/>
    <w:rsid w:val="00E53539"/>
    <w:rsid w:val="00E53B75"/>
    <w:rsid w:val="00E53CA2"/>
    <w:rsid w:val="00E549D7"/>
    <w:rsid w:val="00E54E3B"/>
    <w:rsid w:val="00E5570F"/>
    <w:rsid w:val="00E55F21"/>
    <w:rsid w:val="00E57565"/>
    <w:rsid w:val="00E57B5F"/>
    <w:rsid w:val="00E60A0F"/>
    <w:rsid w:val="00E61443"/>
    <w:rsid w:val="00E62BF3"/>
    <w:rsid w:val="00E63122"/>
    <w:rsid w:val="00E63533"/>
    <w:rsid w:val="00E6358C"/>
    <w:rsid w:val="00E63838"/>
    <w:rsid w:val="00E63A64"/>
    <w:rsid w:val="00E63B74"/>
    <w:rsid w:val="00E63D26"/>
    <w:rsid w:val="00E64434"/>
    <w:rsid w:val="00E64CC0"/>
    <w:rsid w:val="00E64FB3"/>
    <w:rsid w:val="00E65192"/>
    <w:rsid w:val="00E6616E"/>
    <w:rsid w:val="00E6653B"/>
    <w:rsid w:val="00E66EDE"/>
    <w:rsid w:val="00E6761E"/>
    <w:rsid w:val="00E67651"/>
    <w:rsid w:val="00E67C51"/>
    <w:rsid w:val="00E714F5"/>
    <w:rsid w:val="00E72EFC"/>
    <w:rsid w:val="00E72F49"/>
    <w:rsid w:val="00E735BD"/>
    <w:rsid w:val="00E737FC"/>
    <w:rsid w:val="00E739A8"/>
    <w:rsid w:val="00E73C2C"/>
    <w:rsid w:val="00E74174"/>
    <w:rsid w:val="00E74300"/>
    <w:rsid w:val="00E756FA"/>
    <w:rsid w:val="00E758EC"/>
    <w:rsid w:val="00E76773"/>
    <w:rsid w:val="00E80EC6"/>
    <w:rsid w:val="00E81BBE"/>
    <w:rsid w:val="00E8234C"/>
    <w:rsid w:val="00E8241A"/>
    <w:rsid w:val="00E82817"/>
    <w:rsid w:val="00E82BEE"/>
    <w:rsid w:val="00E83722"/>
    <w:rsid w:val="00E83AA9"/>
    <w:rsid w:val="00E8433B"/>
    <w:rsid w:val="00E851D0"/>
    <w:rsid w:val="00E85928"/>
    <w:rsid w:val="00E859AF"/>
    <w:rsid w:val="00E87822"/>
    <w:rsid w:val="00E878E6"/>
    <w:rsid w:val="00E90395"/>
    <w:rsid w:val="00E90533"/>
    <w:rsid w:val="00E90E49"/>
    <w:rsid w:val="00E917F9"/>
    <w:rsid w:val="00E91AB4"/>
    <w:rsid w:val="00E91ECD"/>
    <w:rsid w:val="00E9291C"/>
    <w:rsid w:val="00E936CB"/>
    <w:rsid w:val="00E93FFE"/>
    <w:rsid w:val="00E94914"/>
    <w:rsid w:val="00E94F8A"/>
    <w:rsid w:val="00E97411"/>
    <w:rsid w:val="00E9775D"/>
    <w:rsid w:val="00E9778B"/>
    <w:rsid w:val="00E979B2"/>
    <w:rsid w:val="00E97E68"/>
    <w:rsid w:val="00EA2434"/>
    <w:rsid w:val="00EA2939"/>
    <w:rsid w:val="00EA39EA"/>
    <w:rsid w:val="00EA43C9"/>
    <w:rsid w:val="00EA44E0"/>
    <w:rsid w:val="00EA7A41"/>
    <w:rsid w:val="00EB077B"/>
    <w:rsid w:val="00EB1434"/>
    <w:rsid w:val="00EB156B"/>
    <w:rsid w:val="00EB3080"/>
    <w:rsid w:val="00EB48A3"/>
    <w:rsid w:val="00EB4EA2"/>
    <w:rsid w:val="00EB5208"/>
    <w:rsid w:val="00EB540B"/>
    <w:rsid w:val="00EB550F"/>
    <w:rsid w:val="00EB6B92"/>
    <w:rsid w:val="00EB76F3"/>
    <w:rsid w:val="00EC0101"/>
    <w:rsid w:val="00EC0660"/>
    <w:rsid w:val="00EC09D1"/>
    <w:rsid w:val="00EC1093"/>
    <w:rsid w:val="00EC14E1"/>
    <w:rsid w:val="00EC27C6"/>
    <w:rsid w:val="00EC336E"/>
    <w:rsid w:val="00EC4207"/>
    <w:rsid w:val="00EC5120"/>
    <w:rsid w:val="00EC5653"/>
    <w:rsid w:val="00EC71CE"/>
    <w:rsid w:val="00ED05BF"/>
    <w:rsid w:val="00ED0F2B"/>
    <w:rsid w:val="00ED1006"/>
    <w:rsid w:val="00ED1644"/>
    <w:rsid w:val="00ED21BD"/>
    <w:rsid w:val="00ED2573"/>
    <w:rsid w:val="00ED2930"/>
    <w:rsid w:val="00ED2E0A"/>
    <w:rsid w:val="00ED4DF2"/>
    <w:rsid w:val="00EE08B8"/>
    <w:rsid w:val="00EE11A1"/>
    <w:rsid w:val="00EE16AC"/>
    <w:rsid w:val="00EE1BB5"/>
    <w:rsid w:val="00EE1BF2"/>
    <w:rsid w:val="00EE3550"/>
    <w:rsid w:val="00EE4B40"/>
    <w:rsid w:val="00EE7EE6"/>
    <w:rsid w:val="00EF0DCF"/>
    <w:rsid w:val="00EF18FE"/>
    <w:rsid w:val="00EF21E8"/>
    <w:rsid w:val="00EF5787"/>
    <w:rsid w:val="00EF5E55"/>
    <w:rsid w:val="00EF60D0"/>
    <w:rsid w:val="00EF60FF"/>
    <w:rsid w:val="00EF746D"/>
    <w:rsid w:val="00F00581"/>
    <w:rsid w:val="00F0092A"/>
    <w:rsid w:val="00F009B6"/>
    <w:rsid w:val="00F0218C"/>
    <w:rsid w:val="00F0243A"/>
    <w:rsid w:val="00F026F1"/>
    <w:rsid w:val="00F04470"/>
    <w:rsid w:val="00F04CF9"/>
    <w:rsid w:val="00F04D3C"/>
    <w:rsid w:val="00F0528D"/>
    <w:rsid w:val="00F05E83"/>
    <w:rsid w:val="00F06C67"/>
    <w:rsid w:val="00F06DFD"/>
    <w:rsid w:val="00F071D1"/>
    <w:rsid w:val="00F07533"/>
    <w:rsid w:val="00F077A1"/>
    <w:rsid w:val="00F10629"/>
    <w:rsid w:val="00F107E6"/>
    <w:rsid w:val="00F13BC0"/>
    <w:rsid w:val="00F1596B"/>
    <w:rsid w:val="00F159EF"/>
    <w:rsid w:val="00F15FA5"/>
    <w:rsid w:val="00F17365"/>
    <w:rsid w:val="00F17AC2"/>
    <w:rsid w:val="00F209B7"/>
    <w:rsid w:val="00F20A78"/>
    <w:rsid w:val="00F20DCB"/>
    <w:rsid w:val="00F21F57"/>
    <w:rsid w:val="00F2376F"/>
    <w:rsid w:val="00F243D8"/>
    <w:rsid w:val="00F2651B"/>
    <w:rsid w:val="00F27BAF"/>
    <w:rsid w:val="00F30269"/>
    <w:rsid w:val="00F30828"/>
    <w:rsid w:val="00F3133A"/>
    <w:rsid w:val="00F313D6"/>
    <w:rsid w:val="00F3174E"/>
    <w:rsid w:val="00F33E09"/>
    <w:rsid w:val="00F345B1"/>
    <w:rsid w:val="00F34730"/>
    <w:rsid w:val="00F356D4"/>
    <w:rsid w:val="00F35761"/>
    <w:rsid w:val="00F40BBF"/>
    <w:rsid w:val="00F40C5A"/>
    <w:rsid w:val="00F40CA0"/>
    <w:rsid w:val="00F40D62"/>
    <w:rsid w:val="00F40F0C"/>
    <w:rsid w:val="00F41A7A"/>
    <w:rsid w:val="00F4271B"/>
    <w:rsid w:val="00F42785"/>
    <w:rsid w:val="00F431B3"/>
    <w:rsid w:val="00F44AE6"/>
    <w:rsid w:val="00F45D4F"/>
    <w:rsid w:val="00F4766C"/>
    <w:rsid w:val="00F47900"/>
    <w:rsid w:val="00F47992"/>
    <w:rsid w:val="00F47B79"/>
    <w:rsid w:val="00F507D1"/>
    <w:rsid w:val="00F512F9"/>
    <w:rsid w:val="00F519CE"/>
    <w:rsid w:val="00F51ADA"/>
    <w:rsid w:val="00F5214D"/>
    <w:rsid w:val="00F521C5"/>
    <w:rsid w:val="00F540FD"/>
    <w:rsid w:val="00F5432F"/>
    <w:rsid w:val="00F5560B"/>
    <w:rsid w:val="00F55A3A"/>
    <w:rsid w:val="00F5604F"/>
    <w:rsid w:val="00F56391"/>
    <w:rsid w:val="00F56AB0"/>
    <w:rsid w:val="00F57247"/>
    <w:rsid w:val="00F57C7A"/>
    <w:rsid w:val="00F60779"/>
    <w:rsid w:val="00F607C5"/>
    <w:rsid w:val="00F60DEA"/>
    <w:rsid w:val="00F61ECD"/>
    <w:rsid w:val="00F61EE1"/>
    <w:rsid w:val="00F6201D"/>
    <w:rsid w:val="00F622E1"/>
    <w:rsid w:val="00F6245F"/>
    <w:rsid w:val="00F62A7B"/>
    <w:rsid w:val="00F62E26"/>
    <w:rsid w:val="00F6302A"/>
    <w:rsid w:val="00F63701"/>
    <w:rsid w:val="00F64C2B"/>
    <w:rsid w:val="00F651BE"/>
    <w:rsid w:val="00F65F7C"/>
    <w:rsid w:val="00F66446"/>
    <w:rsid w:val="00F66469"/>
    <w:rsid w:val="00F67CB6"/>
    <w:rsid w:val="00F67E36"/>
    <w:rsid w:val="00F67F53"/>
    <w:rsid w:val="00F703BE"/>
    <w:rsid w:val="00F71561"/>
    <w:rsid w:val="00F715EF"/>
    <w:rsid w:val="00F717E0"/>
    <w:rsid w:val="00F71F69"/>
    <w:rsid w:val="00F7211F"/>
    <w:rsid w:val="00F72B72"/>
    <w:rsid w:val="00F73060"/>
    <w:rsid w:val="00F73ABB"/>
    <w:rsid w:val="00F73D3F"/>
    <w:rsid w:val="00F74BB9"/>
    <w:rsid w:val="00F75582"/>
    <w:rsid w:val="00F762EC"/>
    <w:rsid w:val="00F764BB"/>
    <w:rsid w:val="00F7684F"/>
    <w:rsid w:val="00F76EFA"/>
    <w:rsid w:val="00F804BE"/>
    <w:rsid w:val="00F809FA"/>
    <w:rsid w:val="00F817CE"/>
    <w:rsid w:val="00F81DF5"/>
    <w:rsid w:val="00F8456C"/>
    <w:rsid w:val="00F851AD"/>
    <w:rsid w:val="00F85511"/>
    <w:rsid w:val="00F859D8"/>
    <w:rsid w:val="00F868F5"/>
    <w:rsid w:val="00F871EA"/>
    <w:rsid w:val="00F877C7"/>
    <w:rsid w:val="00F9044E"/>
    <w:rsid w:val="00F9056A"/>
    <w:rsid w:val="00F90F8D"/>
    <w:rsid w:val="00F9200F"/>
    <w:rsid w:val="00F92121"/>
    <w:rsid w:val="00F92782"/>
    <w:rsid w:val="00F93AA9"/>
    <w:rsid w:val="00F94076"/>
    <w:rsid w:val="00F94318"/>
    <w:rsid w:val="00F9447D"/>
    <w:rsid w:val="00F95654"/>
    <w:rsid w:val="00F96985"/>
    <w:rsid w:val="00F97838"/>
    <w:rsid w:val="00FA12F4"/>
    <w:rsid w:val="00FA1685"/>
    <w:rsid w:val="00FA1A0D"/>
    <w:rsid w:val="00FA2BB3"/>
    <w:rsid w:val="00FA3236"/>
    <w:rsid w:val="00FA5567"/>
    <w:rsid w:val="00FA5A4F"/>
    <w:rsid w:val="00FB0EBF"/>
    <w:rsid w:val="00FB12FC"/>
    <w:rsid w:val="00FB1BEC"/>
    <w:rsid w:val="00FB2C8A"/>
    <w:rsid w:val="00FB2DDA"/>
    <w:rsid w:val="00FB2EB6"/>
    <w:rsid w:val="00FB4289"/>
    <w:rsid w:val="00FB4A87"/>
    <w:rsid w:val="00FB4BE9"/>
    <w:rsid w:val="00FB4C80"/>
    <w:rsid w:val="00FB5D57"/>
    <w:rsid w:val="00FB5F42"/>
    <w:rsid w:val="00FB6A6A"/>
    <w:rsid w:val="00FC1535"/>
    <w:rsid w:val="00FC192E"/>
    <w:rsid w:val="00FC3E5D"/>
    <w:rsid w:val="00FC3EEF"/>
    <w:rsid w:val="00FC66A6"/>
    <w:rsid w:val="00FC7429"/>
    <w:rsid w:val="00FC7A32"/>
    <w:rsid w:val="00FD07F6"/>
    <w:rsid w:val="00FD0885"/>
    <w:rsid w:val="00FD0BD0"/>
    <w:rsid w:val="00FD0D7E"/>
    <w:rsid w:val="00FD15DA"/>
    <w:rsid w:val="00FD1EC8"/>
    <w:rsid w:val="00FD2E08"/>
    <w:rsid w:val="00FD2FB9"/>
    <w:rsid w:val="00FD35F1"/>
    <w:rsid w:val="00FD38DE"/>
    <w:rsid w:val="00FD3C26"/>
    <w:rsid w:val="00FD3C41"/>
    <w:rsid w:val="00FD3E7A"/>
    <w:rsid w:val="00FD47ED"/>
    <w:rsid w:val="00FD56F6"/>
    <w:rsid w:val="00FD6D13"/>
    <w:rsid w:val="00FD6FA2"/>
    <w:rsid w:val="00FD7155"/>
    <w:rsid w:val="00FD71DE"/>
    <w:rsid w:val="00FD74DB"/>
    <w:rsid w:val="00FD7660"/>
    <w:rsid w:val="00FD7D3E"/>
    <w:rsid w:val="00FE03CD"/>
    <w:rsid w:val="00FE0655"/>
    <w:rsid w:val="00FE14EE"/>
    <w:rsid w:val="00FE1B31"/>
    <w:rsid w:val="00FE2365"/>
    <w:rsid w:val="00FE2A35"/>
    <w:rsid w:val="00FE39D3"/>
    <w:rsid w:val="00FE4C7B"/>
    <w:rsid w:val="00FE634B"/>
    <w:rsid w:val="00FE7336"/>
    <w:rsid w:val="00FE787C"/>
    <w:rsid w:val="00FE7E3E"/>
    <w:rsid w:val="00FF284E"/>
    <w:rsid w:val="00FF45A5"/>
    <w:rsid w:val="00FF5C91"/>
    <w:rsid w:val="00FF6028"/>
    <w:rsid w:val="00FF61F0"/>
    <w:rsid w:val="00FF67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9D1935"/>
  <w15:chartTrackingRefBased/>
  <w15:docId w15:val="{7949460B-2127-4F12-9EDE-566784AC5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qFormat="1"/>
    <w:lsdException w:name="caption" w:qFormat="1"/>
    <w:lsdException w:name="table of figures"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uiPriority w:val="39"/>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aliases w:val="EN"/>
    <w:basedOn w:val="Normal"/>
    <w:link w:val="EditorsNoteChar"/>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aliases w:val="ref"/>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uiPriority w:val="99"/>
    <w:rsid w:val="00A66F55"/>
    <w:rPr>
      <w:sz w:val="16"/>
      <w:szCs w:val="16"/>
    </w:rPr>
  </w:style>
  <w:style w:type="paragraph" w:styleId="CommentText">
    <w:name w:val="annotation text"/>
    <w:basedOn w:val="Normal"/>
    <w:link w:val="CommentTextChar"/>
    <w:qFormat/>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jc w:val="left"/>
    </w:pPr>
    <w:rPr>
      <w:lang w:eastAsia="en-US"/>
    </w:rPr>
  </w:style>
  <w:style w:type="paragraph" w:customStyle="1" w:styleId="B2">
    <w:name w:val="B2"/>
    <w:basedOn w:val="List2"/>
    <w:link w:val="B2Char"/>
    <w:qFormat/>
    <w:rsid w:val="00A66F55"/>
    <w:pPr>
      <w:spacing w:after="180"/>
      <w:jc w:val="left"/>
    </w:pPr>
    <w:rPr>
      <w:lang w:eastAsia="en-US"/>
    </w:rPr>
  </w:style>
  <w:style w:type="paragraph" w:customStyle="1" w:styleId="B3">
    <w:name w:val="B3"/>
    <w:basedOn w:val="List3"/>
    <w:link w:val="B3Char2"/>
    <w:rsid w:val="00A66F55"/>
    <w:pPr>
      <w:spacing w:after="180"/>
      <w:jc w:val="left"/>
    </w:pPr>
    <w:rPr>
      <w:lang w:eastAsia="en-US"/>
    </w:rPr>
  </w:style>
  <w:style w:type="paragraph" w:customStyle="1" w:styleId="B4">
    <w:name w:val="B4"/>
    <w:basedOn w:val="List4"/>
    <w:link w:val="B4Char"/>
    <w:rsid w:val="00A66F55"/>
    <w:pPr>
      <w:spacing w:after="180"/>
      <w:jc w:val="left"/>
    </w:pPr>
    <w:rPr>
      <w:lang w:eastAsia="en-US"/>
    </w:rPr>
  </w:style>
  <w:style w:type="paragraph" w:customStyle="1" w:styleId="Proposal">
    <w:name w:val="Proposal"/>
    <w:basedOn w:val="Normal"/>
    <w:rsid w:val="00A66F55"/>
    <w:pPr>
      <w:numPr>
        <w:numId w:val="3"/>
      </w:numPr>
      <w:tabs>
        <w:tab w:val="left" w:pos="1701"/>
      </w:tabs>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link w:val="B5Char"/>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lang w:eastAsia="en-US"/>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9"/>
      </w:numPr>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ListParagraph">
    <w:name w:val="List Paragraph"/>
    <w:basedOn w:val="Normal"/>
    <w:link w:val="ListParagraphChar"/>
    <w:uiPriority w:val="34"/>
    <w:qFormat/>
    <w:rsid w:val="005842CA"/>
    <w:pPr>
      <w:overflowPunct/>
      <w:autoSpaceDE/>
      <w:autoSpaceDN/>
      <w:adjustRightInd/>
      <w:spacing w:after="0" w:line="259" w:lineRule="auto"/>
      <w:ind w:left="720"/>
      <w:jc w:val="left"/>
      <w:textAlignment w:val="auto"/>
    </w:pPr>
    <w:rPr>
      <w:rFonts w:ascii="Times New Roman" w:eastAsia="Calibri" w:hAnsi="Times New Roman" w:cstheme="minorBidi"/>
      <w:sz w:val="24"/>
      <w:szCs w:val="24"/>
      <w:lang w:val="en-US" w:eastAsia="en-US"/>
    </w:rPr>
  </w:style>
  <w:style w:type="table" w:styleId="TableGrid">
    <w:name w:val="Table Grid"/>
    <w:basedOn w:val="TableNormal"/>
    <w:uiPriority w:val="59"/>
    <w:rsid w:val="005842CA"/>
    <w:rPr>
      <w:rFonts w:ascii="Calibri" w:eastAsia="SimSu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5842CA"/>
    <w:rPr>
      <w:rFonts w:ascii="Times New Roman" w:eastAsia="Calibri" w:hAnsi="Times New Roman" w:cstheme="minorBidi"/>
      <w:sz w:val="24"/>
      <w:szCs w:val="24"/>
    </w:rPr>
  </w:style>
  <w:style w:type="paragraph" w:styleId="NormalWeb">
    <w:name w:val="Normal (Web)"/>
    <w:basedOn w:val="Normal"/>
    <w:uiPriority w:val="99"/>
    <w:unhideWhenUsed/>
    <w:rsid w:val="005842CA"/>
    <w:pPr>
      <w:overflowPunct/>
      <w:autoSpaceDE/>
      <w:autoSpaceDN/>
      <w:adjustRightInd/>
      <w:spacing w:before="100" w:beforeAutospacing="1" w:after="100" w:afterAutospacing="1"/>
      <w:jc w:val="left"/>
      <w:textAlignment w:val="auto"/>
    </w:pPr>
    <w:rPr>
      <w:rFonts w:ascii="Times New Roman" w:eastAsia="SimSun" w:hAnsi="Times New Roman"/>
      <w:sz w:val="24"/>
      <w:szCs w:val="24"/>
      <w:lang w:val="fi-FI" w:eastAsia="fi-FI"/>
    </w:rPr>
  </w:style>
  <w:style w:type="paragraph" w:customStyle="1" w:styleId="PL">
    <w:name w:val="PL"/>
    <w:link w:val="PLChar"/>
    <w:rsid w:val="00680E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rPr>
  </w:style>
  <w:style w:type="character" w:customStyle="1" w:styleId="PLChar">
    <w:name w:val="PL Char"/>
    <w:link w:val="PL"/>
    <w:rsid w:val="00680EEC"/>
    <w:rPr>
      <w:rFonts w:ascii="Courier New" w:eastAsia="SimSun" w:hAnsi="Courier New"/>
      <w:noProof/>
      <w:sz w:val="16"/>
      <w:lang w:val="en-GB"/>
    </w:rPr>
  </w:style>
  <w:style w:type="character" w:customStyle="1" w:styleId="THChar">
    <w:name w:val="TH Char"/>
    <w:link w:val="TH"/>
    <w:rsid w:val="00680EEC"/>
    <w:rPr>
      <w:rFonts w:ascii="Arial" w:hAnsi="Arial"/>
      <w:b/>
      <w:lang w:val="en-GB"/>
    </w:rPr>
  </w:style>
  <w:style w:type="paragraph" w:customStyle="1" w:styleId="IvDbodytext">
    <w:name w:val="IvD bodytext"/>
    <w:basedOn w:val="BodyText"/>
    <w:link w:val="IvDbodytextChar"/>
    <w:qFormat/>
    <w:rsid w:val="006E21E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6E21EC"/>
    <w:rPr>
      <w:rFonts w:ascii="Arial" w:hAnsi="Arial"/>
      <w:spacing w:val="2"/>
      <w:lang w:val="en-GB" w:eastAsia="zh-CN"/>
    </w:rPr>
  </w:style>
  <w:style w:type="paragraph" w:customStyle="1" w:styleId="IvDInstructiontext">
    <w:name w:val="IvD Instructiontext"/>
    <w:basedOn w:val="BodyText"/>
    <w:link w:val="IvDInstructiontextChar"/>
    <w:uiPriority w:val="99"/>
    <w:qFormat/>
    <w:rsid w:val="005B1FB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5B1FBF"/>
    <w:rPr>
      <w:rFonts w:ascii="Arial" w:hAnsi="Arial"/>
      <w:i/>
      <w:color w:val="7F7F7F" w:themeColor="text1" w:themeTint="80"/>
      <w:spacing w:val="2"/>
      <w:sz w:val="18"/>
      <w:szCs w:val="18"/>
    </w:rPr>
  </w:style>
  <w:style w:type="paragraph" w:styleId="Revision">
    <w:name w:val="Revision"/>
    <w:hidden/>
    <w:uiPriority w:val="99"/>
    <w:semiHidden/>
    <w:rsid w:val="008F2FB3"/>
    <w:rPr>
      <w:rFonts w:ascii="Arial" w:hAnsi="Arial"/>
      <w:lang w:val="en-GB" w:eastAsia="zh-CN"/>
    </w:rPr>
  </w:style>
  <w:style w:type="character" w:customStyle="1" w:styleId="Doc-titleChar">
    <w:name w:val="Doc-title Char"/>
    <w:link w:val="Doc-title"/>
    <w:locked/>
    <w:rsid w:val="00E51CF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51CF5"/>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CommentTextChar">
    <w:name w:val="Comment Text Char"/>
    <w:basedOn w:val="DefaultParagraphFont"/>
    <w:link w:val="CommentText"/>
    <w:qFormat/>
    <w:rsid w:val="00963824"/>
    <w:rPr>
      <w:rFonts w:ascii="Arial" w:hAnsi="Arial"/>
      <w:lang w:val="en-GB" w:eastAsia="zh-CN"/>
    </w:rPr>
  </w:style>
  <w:style w:type="paragraph" w:styleId="TOCHeading">
    <w:name w:val="TOC Heading"/>
    <w:basedOn w:val="Heading1"/>
    <w:next w:val="Normal"/>
    <w:uiPriority w:val="39"/>
    <w:unhideWhenUsed/>
    <w:qFormat/>
    <w:rsid w:val="0004072D"/>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character" w:customStyle="1" w:styleId="B1Char1">
    <w:name w:val="B1 Char1"/>
    <w:link w:val="B1"/>
    <w:qFormat/>
    <w:rsid w:val="000F4391"/>
    <w:rPr>
      <w:rFonts w:ascii="Arial" w:hAnsi="Arial"/>
      <w:lang w:val="en-GB"/>
    </w:rPr>
  </w:style>
  <w:style w:type="character" w:customStyle="1" w:styleId="B2Char">
    <w:name w:val="B2 Char"/>
    <w:link w:val="B2"/>
    <w:qFormat/>
    <w:rsid w:val="000F4391"/>
    <w:rPr>
      <w:rFonts w:ascii="Arial" w:hAnsi="Arial"/>
      <w:lang w:val="en-GB"/>
    </w:rPr>
  </w:style>
  <w:style w:type="character" w:customStyle="1" w:styleId="B3Char2">
    <w:name w:val="B3 Char2"/>
    <w:link w:val="B3"/>
    <w:qFormat/>
    <w:rsid w:val="007C3EEF"/>
    <w:rPr>
      <w:rFonts w:ascii="Arial" w:hAnsi="Arial"/>
      <w:lang w:val="en-GB"/>
    </w:rPr>
  </w:style>
  <w:style w:type="character" w:customStyle="1" w:styleId="B4Char">
    <w:name w:val="B4 Char"/>
    <w:link w:val="B4"/>
    <w:rsid w:val="007C3EEF"/>
    <w:rPr>
      <w:rFonts w:ascii="Arial" w:hAnsi="Arial"/>
      <w:lang w:val="en-GB"/>
    </w:rPr>
  </w:style>
  <w:style w:type="character" w:customStyle="1" w:styleId="EditorsNoteChar">
    <w:name w:val="Editor's Note Char"/>
    <w:aliases w:val="EN Char"/>
    <w:link w:val="EditorsNote"/>
    <w:rsid w:val="004B15A7"/>
    <w:rPr>
      <w:rFonts w:ascii="Arial" w:hAnsi="Arial"/>
      <w:color w:val="FF0000"/>
      <w:lang w:val="en-GB"/>
    </w:rPr>
  </w:style>
  <w:style w:type="character" w:customStyle="1" w:styleId="B5Char">
    <w:name w:val="B5 Char"/>
    <w:link w:val="B5"/>
    <w:rsid w:val="00C46555"/>
    <w:rPr>
      <w:rFonts w:ascii="Arial" w:hAnsi="Arial"/>
      <w:lang w:val="en-GB"/>
    </w:rPr>
  </w:style>
  <w:style w:type="paragraph" w:customStyle="1" w:styleId="B6">
    <w:name w:val="B6"/>
    <w:basedOn w:val="B5"/>
    <w:qFormat/>
    <w:rsid w:val="00C46555"/>
    <w:rPr>
      <w:rFonts w:ascii="Times New Roman" w:eastAsia="Malgun Gothic" w:hAnsi="Times New Roman"/>
      <w:lang w:eastAsia="ja-JP"/>
    </w:rPr>
  </w:style>
  <w:style w:type="character" w:customStyle="1" w:styleId="fontstyle01">
    <w:name w:val="fontstyle01"/>
    <w:basedOn w:val="DefaultParagraphFont"/>
    <w:rsid w:val="008074BE"/>
    <w:rPr>
      <w:rFonts w:ascii="Times-Roman" w:hAnsi="Times-Roman" w:hint="default"/>
      <w:b w:val="0"/>
      <w:bCs w:val="0"/>
      <w:i w:val="0"/>
      <w:iCs w:val="0"/>
      <w:color w:val="000000"/>
      <w:sz w:val="20"/>
      <w:szCs w:val="20"/>
    </w:rPr>
  </w:style>
  <w:style w:type="paragraph" w:customStyle="1" w:styleId="Agreement">
    <w:name w:val="Agreement"/>
    <w:basedOn w:val="Normal"/>
    <w:next w:val="Doc-text2"/>
    <w:rsid w:val="008E3628"/>
    <w:pPr>
      <w:numPr>
        <w:numId w:val="25"/>
      </w:numPr>
      <w:overflowPunct/>
      <w:autoSpaceDE/>
      <w:autoSpaceDN/>
      <w:adjustRightInd/>
      <w:spacing w:before="60" w:after="0"/>
      <w:jc w:val="left"/>
      <w:textAlignment w:val="auto"/>
    </w:pPr>
    <w:rPr>
      <w:rFonts w:eastAsia="MS Mincho"/>
      <w:b/>
      <w:szCs w:val="24"/>
      <w:lang w:eastAsia="en-GB"/>
    </w:rPr>
  </w:style>
  <w:style w:type="character" w:customStyle="1" w:styleId="B3Char">
    <w:name w:val="B3 Char"/>
    <w:rsid w:val="00D760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1719">
      <w:bodyDiv w:val="1"/>
      <w:marLeft w:val="0"/>
      <w:marRight w:val="0"/>
      <w:marTop w:val="0"/>
      <w:marBottom w:val="0"/>
      <w:divBdr>
        <w:top w:val="none" w:sz="0" w:space="0" w:color="auto"/>
        <w:left w:val="none" w:sz="0" w:space="0" w:color="auto"/>
        <w:bottom w:val="none" w:sz="0" w:space="0" w:color="auto"/>
        <w:right w:val="none" w:sz="0" w:space="0" w:color="auto"/>
      </w:divBdr>
      <w:divsChild>
        <w:div w:id="603461140">
          <w:marLeft w:val="274"/>
          <w:marRight w:val="0"/>
          <w:marTop w:val="86"/>
          <w:marBottom w:val="0"/>
          <w:divBdr>
            <w:top w:val="none" w:sz="0" w:space="0" w:color="auto"/>
            <w:left w:val="none" w:sz="0" w:space="0" w:color="auto"/>
            <w:bottom w:val="none" w:sz="0" w:space="0" w:color="auto"/>
            <w:right w:val="none" w:sz="0" w:space="0" w:color="auto"/>
          </w:divBdr>
        </w:div>
      </w:divsChild>
    </w:div>
    <w:div w:id="45297524">
      <w:bodyDiv w:val="1"/>
      <w:marLeft w:val="0"/>
      <w:marRight w:val="0"/>
      <w:marTop w:val="0"/>
      <w:marBottom w:val="0"/>
      <w:divBdr>
        <w:top w:val="none" w:sz="0" w:space="0" w:color="auto"/>
        <w:left w:val="none" w:sz="0" w:space="0" w:color="auto"/>
        <w:bottom w:val="none" w:sz="0" w:space="0" w:color="auto"/>
        <w:right w:val="none" w:sz="0" w:space="0" w:color="auto"/>
      </w:divBdr>
      <w:divsChild>
        <w:div w:id="1747724077">
          <w:marLeft w:val="274"/>
          <w:marRight w:val="0"/>
          <w:marTop w:val="86"/>
          <w:marBottom w:val="0"/>
          <w:divBdr>
            <w:top w:val="none" w:sz="0" w:space="0" w:color="auto"/>
            <w:left w:val="none" w:sz="0" w:space="0" w:color="auto"/>
            <w:bottom w:val="none" w:sz="0" w:space="0" w:color="auto"/>
            <w:right w:val="none" w:sz="0" w:space="0" w:color="auto"/>
          </w:divBdr>
        </w:div>
      </w:divsChild>
    </w:div>
    <w:div w:id="193428227">
      <w:bodyDiv w:val="1"/>
      <w:marLeft w:val="0"/>
      <w:marRight w:val="0"/>
      <w:marTop w:val="0"/>
      <w:marBottom w:val="0"/>
      <w:divBdr>
        <w:top w:val="none" w:sz="0" w:space="0" w:color="auto"/>
        <w:left w:val="none" w:sz="0" w:space="0" w:color="auto"/>
        <w:bottom w:val="none" w:sz="0" w:space="0" w:color="auto"/>
        <w:right w:val="none" w:sz="0" w:space="0" w:color="auto"/>
      </w:divBdr>
      <w:divsChild>
        <w:div w:id="904527883">
          <w:marLeft w:val="274"/>
          <w:marRight w:val="0"/>
          <w:marTop w:val="115"/>
          <w:marBottom w:val="0"/>
          <w:divBdr>
            <w:top w:val="none" w:sz="0" w:space="0" w:color="auto"/>
            <w:left w:val="none" w:sz="0" w:space="0" w:color="auto"/>
            <w:bottom w:val="none" w:sz="0" w:space="0" w:color="auto"/>
            <w:right w:val="none" w:sz="0" w:space="0" w:color="auto"/>
          </w:divBdr>
        </w:div>
        <w:div w:id="1761683325">
          <w:marLeft w:val="835"/>
          <w:marRight w:val="0"/>
          <w:marTop w:val="86"/>
          <w:marBottom w:val="0"/>
          <w:divBdr>
            <w:top w:val="none" w:sz="0" w:space="0" w:color="auto"/>
            <w:left w:val="none" w:sz="0" w:space="0" w:color="auto"/>
            <w:bottom w:val="none" w:sz="0" w:space="0" w:color="auto"/>
            <w:right w:val="none" w:sz="0" w:space="0" w:color="auto"/>
          </w:divBdr>
        </w:div>
        <w:div w:id="1083915450">
          <w:marLeft w:val="835"/>
          <w:marRight w:val="0"/>
          <w:marTop w:val="86"/>
          <w:marBottom w:val="0"/>
          <w:divBdr>
            <w:top w:val="none" w:sz="0" w:space="0" w:color="auto"/>
            <w:left w:val="none" w:sz="0" w:space="0" w:color="auto"/>
            <w:bottom w:val="none" w:sz="0" w:space="0" w:color="auto"/>
            <w:right w:val="none" w:sz="0" w:space="0" w:color="auto"/>
          </w:divBdr>
        </w:div>
        <w:div w:id="1043215948">
          <w:marLeft w:val="835"/>
          <w:marRight w:val="0"/>
          <w:marTop w:val="86"/>
          <w:marBottom w:val="0"/>
          <w:divBdr>
            <w:top w:val="none" w:sz="0" w:space="0" w:color="auto"/>
            <w:left w:val="none" w:sz="0" w:space="0" w:color="auto"/>
            <w:bottom w:val="none" w:sz="0" w:space="0" w:color="auto"/>
            <w:right w:val="none" w:sz="0" w:space="0" w:color="auto"/>
          </w:divBdr>
        </w:div>
        <w:div w:id="1549145562">
          <w:marLeft w:val="1411"/>
          <w:marRight w:val="0"/>
          <w:marTop w:val="86"/>
          <w:marBottom w:val="0"/>
          <w:divBdr>
            <w:top w:val="none" w:sz="0" w:space="0" w:color="auto"/>
            <w:left w:val="none" w:sz="0" w:space="0" w:color="auto"/>
            <w:bottom w:val="none" w:sz="0" w:space="0" w:color="auto"/>
            <w:right w:val="none" w:sz="0" w:space="0" w:color="auto"/>
          </w:divBdr>
        </w:div>
        <w:div w:id="31074571">
          <w:marLeft w:val="1411"/>
          <w:marRight w:val="0"/>
          <w:marTop w:val="86"/>
          <w:marBottom w:val="0"/>
          <w:divBdr>
            <w:top w:val="none" w:sz="0" w:space="0" w:color="auto"/>
            <w:left w:val="none" w:sz="0" w:space="0" w:color="auto"/>
            <w:bottom w:val="none" w:sz="0" w:space="0" w:color="auto"/>
            <w:right w:val="none" w:sz="0" w:space="0" w:color="auto"/>
          </w:divBdr>
        </w:div>
        <w:div w:id="1972245399">
          <w:marLeft w:val="1411"/>
          <w:marRight w:val="0"/>
          <w:marTop w:val="86"/>
          <w:marBottom w:val="0"/>
          <w:divBdr>
            <w:top w:val="none" w:sz="0" w:space="0" w:color="auto"/>
            <w:left w:val="none" w:sz="0" w:space="0" w:color="auto"/>
            <w:bottom w:val="none" w:sz="0" w:space="0" w:color="auto"/>
            <w:right w:val="none" w:sz="0" w:space="0" w:color="auto"/>
          </w:divBdr>
        </w:div>
        <w:div w:id="10106667">
          <w:marLeft w:val="1411"/>
          <w:marRight w:val="0"/>
          <w:marTop w:val="86"/>
          <w:marBottom w:val="0"/>
          <w:divBdr>
            <w:top w:val="none" w:sz="0" w:space="0" w:color="auto"/>
            <w:left w:val="none" w:sz="0" w:space="0" w:color="auto"/>
            <w:bottom w:val="none" w:sz="0" w:space="0" w:color="auto"/>
            <w:right w:val="none" w:sz="0" w:space="0" w:color="auto"/>
          </w:divBdr>
        </w:div>
        <w:div w:id="82265392">
          <w:marLeft w:val="1973"/>
          <w:marRight w:val="0"/>
          <w:marTop w:val="86"/>
          <w:marBottom w:val="0"/>
          <w:divBdr>
            <w:top w:val="none" w:sz="0" w:space="0" w:color="auto"/>
            <w:left w:val="none" w:sz="0" w:space="0" w:color="auto"/>
            <w:bottom w:val="none" w:sz="0" w:space="0" w:color="auto"/>
            <w:right w:val="none" w:sz="0" w:space="0" w:color="auto"/>
          </w:divBdr>
        </w:div>
        <w:div w:id="1421489303">
          <w:marLeft w:val="2549"/>
          <w:marRight w:val="0"/>
          <w:marTop w:val="77"/>
          <w:marBottom w:val="0"/>
          <w:divBdr>
            <w:top w:val="none" w:sz="0" w:space="0" w:color="auto"/>
            <w:left w:val="none" w:sz="0" w:space="0" w:color="auto"/>
            <w:bottom w:val="none" w:sz="0" w:space="0" w:color="auto"/>
            <w:right w:val="none" w:sz="0" w:space="0" w:color="auto"/>
          </w:divBdr>
        </w:div>
        <w:div w:id="1184706460">
          <w:marLeft w:val="1973"/>
          <w:marRight w:val="0"/>
          <w:marTop w:val="86"/>
          <w:marBottom w:val="0"/>
          <w:divBdr>
            <w:top w:val="none" w:sz="0" w:space="0" w:color="auto"/>
            <w:left w:val="none" w:sz="0" w:space="0" w:color="auto"/>
            <w:bottom w:val="none" w:sz="0" w:space="0" w:color="auto"/>
            <w:right w:val="none" w:sz="0" w:space="0" w:color="auto"/>
          </w:divBdr>
        </w:div>
        <w:div w:id="245696004">
          <w:marLeft w:val="2549"/>
          <w:marRight w:val="0"/>
          <w:marTop w:val="77"/>
          <w:marBottom w:val="0"/>
          <w:divBdr>
            <w:top w:val="none" w:sz="0" w:space="0" w:color="auto"/>
            <w:left w:val="none" w:sz="0" w:space="0" w:color="auto"/>
            <w:bottom w:val="none" w:sz="0" w:space="0" w:color="auto"/>
            <w:right w:val="none" w:sz="0" w:space="0" w:color="auto"/>
          </w:divBdr>
        </w:div>
        <w:div w:id="1222250825">
          <w:marLeft w:val="1411"/>
          <w:marRight w:val="0"/>
          <w:marTop w:val="86"/>
          <w:marBottom w:val="0"/>
          <w:divBdr>
            <w:top w:val="none" w:sz="0" w:space="0" w:color="auto"/>
            <w:left w:val="none" w:sz="0" w:space="0" w:color="auto"/>
            <w:bottom w:val="none" w:sz="0" w:space="0" w:color="auto"/>
            <w:right w:val="none" w:sz="0" w:space="0" w:color="auto"/>
          </w:divBdr>
        </w:div>
        <w:div w:id="1774935810">
          <w:marLeft w:val="1973"/>
          <w:marRight w:val="0"/>
          <w:marTop w:val="86"/>
          <w:marBottom w:val="0"/>
          <w:divBdr>
            <w:top w:val="none" w:sz="0" w:space="0" w:color="auto"/>
            <w:left w:val="none" w:sz="0" w:space="0" w:color="auto"/>
            <w:bottom w:val="none" w:sz="0" w:space="0" w:color="auto"/>
            <w:right w:val="none" w:sz="0" w:space="0" w:color="auto"/>
          </w:divBdr>
        </w:div>
        <w:div w:id="2047020119">
          <w:marLeft w:val="2549"/>
          <w:marRight w:val="0"/>
          <w:marTop w:val="77"/>
          <w:marBottom w:val="0"/>
          <w:divBdr>
            <w:top w:val="none" w:sz="0" w:space="0" w:color="auto"/>
            <w:left w:val="none" w:sz="0" w:space="0" w:color="auto"/>
            <w:bottom w:val="none" w:sz="0" w:space="0" w:color="auto"/>
            <w:right w:val="none" w:sz="0" w:space="0" w:color="auto"/>
          </w:divBdr>
        </w:div>
        <w:div w:id="187912843">
          <w:marLeft w:val="1973"/>
          <w:marRight w:val="0"/>
          <w:marTop w:val="86"/>
          <w:marBottom w:val="0"/>
          <w:divBdr>
            <w:top w:val="none" w:sz="0" w:space="0" w:color="auto"/>
            <w:left w:val="none" w:sz="0" w:space="0" w:color="auto"/>
            <w:bottom w:val="none" w:sz="0" w:space="0" w:color="auto"/>
            <w:right w:val="none" w:sz="0" w:space="0" w:color="auto"/>
          </w:divBdr>
        </w:div>
        <w:div w:id="1849513747">
          <w:marLeft w:val="2549"/>
          <w:marRight w:val="0"/>
          <w:marTop w:val="77"/>
          <w:marBottom w:val="0"/>
          <w:divBdr>
            <w:top w:val="none" w:sz="0" w:space="0" w:color="auto"/>
            <w:left w:val="none" w:sz="0" w:space="0" w:color="auto"/>
            <w:bottom w:val="none" w:sz="0" w:space="0" w:color="auto"/>
            <w:right w:val="none" w:sz="0" w:space="0" w:color="auto"/>
          </w:divBdr>
        </w:div>
      </w:divsChild>
    </w:div>
    <w:div w:id="363362856">
      <w:bodyDiv w:val="1"/>
      <w:marLeft w:val="0"/>
      <w:marRight w:val="0"/>
      <w:marTop w:val="0"/>
      <w:marBottom w:val="0"/>
      <w:divBdr>
        <w:top w:val="none" w:sz="0" w:space="0" w:color="auto"/>
        <w:left w:val="none" w:sz="0" w:space="0" w:color="auto"/>
        <w:bottom w:val="none" w:sz="0" w:space="0" w:color="auto"/>
        <w:right w:val="none" w:sz="0" w:space="0" w:color="auto"/>
      </w:divBdr>
    </w:div>
    <w:div w:id="365637701">
      <w:bodyDiv w:val="1"/>
      <w:marLeft w:val="0"/>
      <w:marRight w:val="0"/>
      <w:marTop w:val="0"/>
      <w:marBottom w:val="0"/>
      <w:divBdr>
        <w:top w:val="none" w:sz="0" w:space="0" w:color="auto"/>
        <w:left w:val="none" w:sz="0" w:space="0" w:color="auto"/>
        <w:bottom w:val="none" w:sz="0" w:space="0" w:color="auto"/>
        <w:right w:val="none" w:sz="0" w:space="0" w:color="auto"/>
      </w:divBdr>
      <w:divsChild>
        <w:div w:id="1279407358">
          <w:marLeft w:val="274"/>
          <w:marRight w:val="0"/>
          <w:marTop w:val="86"/>
          <w:marBottom w:val="0"/>
          <w:divBdr>
            <w:top w:val="none" w:sz="0" w:space="0" w:color="auto"/>
            <w:left w:val="none" w:sz="0" w:space="0" w:color="auto"/>
            <w:bottom w:val="none" w:sz="0" w:space="0" w:color="auto"/>
            <w:right w:val="none" w:sz="0" w:space="0" w:color="auto"/>
          </w:divBdr>
        </w:div>
      </w:divsChild>
    </w:div>
    <w:div w:id="385762291">
      <w:bodyDiv w:val="1"/>
      <w:marLeft w:val="0"/>
      <w:marRight w:val="0"/>
      <w:marTop w:val="0"/>
      <w:marBottom w:val="0"/>
      <w:divBdr>
        <w:top w:val="none" w:sz="0" w:space="0" w:color="auto"/>
        <w:left w:val="none" w:sz="0" w:space="0" w:color="auto"/>
        <w:bottom w:val="none" w:sz="0" w:space="0" w:color="auto"/>
        <w:right w:val="none" w:sz="0" w:space="0" w:color="auto"/>
      </w:divBdr>
    </w:div>
    <w:div w:id="91956087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55302595">
      <w:bodyDiv w:val="1"/>
      <w:marLeft w:val="0"/>
      <w:marRight w:val="0"/>
      <w:marTop w:val="0"/>
      <w:marBottom w:val="0"/>
      <w:divBdr>
        <w:top w:val="none" w:sz="0" w:space="0" w:color="auto"/>
        <w:left w:val="none" w:sz="0" w:space="0" w:color="auto"/>
        <w:bottom w:val="none" w:sz="0" w:space="0" w:color="auto"/>
        <w:right w:val="none" w:sz="0" w:space="0" w:color="auto"/>
      </w:divBdr>
    </w:div>
    <w:div w:id="1660428491">
      <w:bodyDiv w:val="1"/>
      <w:marLeft w:val="0"/>
      <w:marRight w:val="0"/>
      <w:marTop w:val="0"/>
      <w:marBottom w:val="0"/>
      <w:divBdr>
        <w:top w:val="none" w:sz="0" w:space="0" w:color="auto"/>
        <w:left w:val="none" w:sz="0" w:space="0" w:color="auto"/>
        <w:bottom w:val="none" w:sz="0" w:space="0" w:color="auto"/>
        <w:right w:val="none" w:sz="0" w:space="0" w:color="auto"/>
      </w:divBdr>
      <w:divsChild>
        <w:div w:id="823665762">
          <w:marLeft w:val="274"/>
          <w:marRight w:val="0"/>
          <w:marTop w:val="86"/>
          <w:marBottom w:val="0"/>
          <w:divBdr>
            <w:top w:val="none" w:sz="0" w:space="0" w:color="auto"/>
            <w:left w:val="none" w:sz="0" w:space="0" w:color="auto"/>
            <w:bottom w:val="none" w:sz="0" w:space="0" w:color="auto"/>
            <w:right w:val="none" w:sz="0" w:space="0" w:color="auto"/>
          </w:divBdr>
        </w:div>
        <w:div w:id="515194215">
          <w:marLeft w:val="274"/>
          <w:marRight w:val="0"/>
          <w:marTop w:val="86"/>
          <w:marBottom w:val="0"/>
          <w:divBdr>
            <w:top w:val="none" w:sz="0" w:space="0" w:color="auto"/>
            <w:left w:val="none" w:sz="0" w:space="0" w:color="auto"/>
            <w:bottom w:val="none" w:sz="0" w:space="0" w:color="auto"/>
            <w:right w:val="none" w:sz="0" w:space="0" w:color="auto"/>
          </w:divBdr>
        </w:div>
        <w:div w:id="291516733">
          <w:marLeft w:val="274"/>
          <w:marRight w:val="0"/>
          <w:marTop w:val="86"/>
          <w:marBottom w:val="0"/>
          <w:divBdr>
            <w:top w:val="none" w:sz="0" w:space="0" w:color="auto"/>
            <w:left w:val="none" w:sz="0" w:space="0" w:color="auto"/>
            <w:bottom w:val="none" w:sz="0" w:space="0" w:color="auto"/>
            <w:right w:val="none" w:sz="0" w:space="0" w:color="auto"/>
          </w:divBdr>
        </w:div>
        <w:div w:id="663628674">
          <w:marLeft w:val="274"/>
          <w:marRight w:val="0"/>
          <w:marTop w:val="86"/>
          <w:marBottom w:val="0"/>
          <w:divBdr>
            <w:top w:val="none" w:sz="0" w:space="0" w:color="auto"/>
            <w:left w:val="none" w:sz="0" w:space="0" w:color="auto"/>
            <w:bottom w:val="none" w:sz="0" w:space="0" w:color="auto"/>
            <w:right w:val="none" w:sz="0" w:space="0" w:color="auto"/>
          </w:divBdr>
        </w:div>
        <w:div w:id="766116745">
          <w:marLeft w:val="274"/>
          <w:marRight w:val="0"/>
          <w:marTop w:val="86"/>
          <w:marBottom w:val="0"/>
          <w:divBdr>
            <w:top w:val="none" w:sz="0" w:space="0" w:color="auto"/>
            <w:left w:val="none" w:sz="0" w:space="0" w:color="auto"/>
            <w:bottom w:val="none" w:sz="0" w:space="0" w:color="auto"/>
            <w:right w:val="none" w:sz="0" w:space="0" w:color="auto"/>
          </w:divBdr>
        </w:div>
        <w:div w:id="789131086">
          <w:marLeft w:val="274"/>
          <w:marRight w:val="0"/>
          <w:marTop w:val="86"/>
          <w:marBottom w:val="0"/>
          <w:divBdr>
            <w:top w:val="none" w:sz="0" w:space="0" w:color="auto"/>
            <w:left w:val="none" w:sz="0" w:space="0" w:color="auto"/>
            <w:bottom w:val="none" w:sz="0" w:space="0" w:color="auto"/>
            <w:right w:val="none" w:sz="0" w:space="0" w:color="auto"/>
          </w:divBdr>
        </w:div>
        <w:div w:id="347176768">
          <w:marLeft w:val="274"/>
          <w:marRight w:val="0"/>
          <w:marTop w:val="86"/>
          <w:marBottom w:val="0"/>
          <w:divBdr>
            <w:top w:val="none" w:sz="0" w:space="0" w:color="auto"/>
            <w:left w:val="none" w:sz="0" w:space="0" w:color="auto"/>
            <w:bottom w:val="none" w:sz="0" w:space="0" w:color="auto"/>
            <w:right w:val="none" w:sz="0" w:space="0" w:color="auto"/>
          </w:divBdr>
        </w:div>
      </w:divsChild>
    </w:div>
    <w:div w:id="1766343370">
      <w:bodyDiv w:val="1"/>
      <w:marLeft w:val="0"/>
      <w:marRight w:val="0"/>
      <w:marTop w:val="0"/>
      <w:marBottom w:val="0"/>
      <w:divBdr>
        <w:top w:val="none" w:sz="0" w:space="0" w:color="auto"/>
        <w:left w:val="none" w:sz="0" w:space="0" w:color="auto"/>
        <w:bottom w:val="none" w:sz="0" w:space="0" w:color="auto"/>
        <w:right w:val="none" w:sz="0" w:space="0" w:color="auto"/>
      </w:divBdr>
    </w:div>
    <w:div w:id="1822771957">
      <w:bodyDiv w:val="1"/>
      <w:marLeft w:val="0"/>
      <w:marRight w:val="0"/>
      <w:marTop w:val="0"/>
      <w:marBottom w:val="0"/>
      <w:divBdr>
        <w:top w:val="none" w:sz="0" w:space="0" w:color="auto"/>
        <w:left w:val="none" w:sz="0" w:space="0" w:color="auto"/>
        <w:bottom w:val="none" w:sz="0" w:space="0" w:color="auto"/>
        <w:right w:val="none" w:sz="0" w:space="0" w:color="auto"/>
      </w:divBdr>
      <w:divsChild>
        <w:div w:id="426122371">
          <w:marLeft w:val="274"/>
          <w:marRight w:val="0"/>
          <w:marTop w:val="86"/>
          <w:marBottom w:val="0"/>
          <w:divBdr>
            <w:top w:val="none" w:sz="0" w:space="0" w:color="auto"/>
            <w:left w:val="none" w:sz="0" w:space="0" w:color="auto"/>
            <w:bottom w:val="none" w:sz="0" w:space="0" w:color="auto"/>
            <w:right w:val="none" w:sz="0" w:space="0" w:color="auto"/>
          </w:divBdr>
        </w:div>
      </w:divsChild>
    </w:div>
    <w:div w:id="1862546269">
      <w:bodyDiv w:val="1"/>
      <w:marLeft w:val="0"/>
      <w:marRight w:val="0"/>
      <w:marTop w:val="0"/>
      <w:marBottom w:val="0"/>
      <w:divBdr>
        <w:top w:val="none" w:sz="0" w:space="0" w:color="auto"/>
        <w:left w:val="none" w:sz="0" w:space="0" w:color="auto"/>
        <w:bottom w:val="none" w:sz="0" w:space="0" w:color="auto"/>
        <w:right w:val="none" w:sz="0" w:space="0" w:color="auto"/>
      </w:divBdr>
      <w:divsChild>
        <w:div w:id="2092389490">
          <w:marLeft w:val="274"/>
          <w:marRight w:val="0"/>
          <w:marTop w:val="86"/>
          <w:marBottom w:val="0"/>
          <w:divBdr>
            <w:top w:val="none" w:sz="0" w:space="0" w:color="auto"/>
            <w:left w:val="none" w:sz="0" w:space="0" w:color="auto"/>
            <w:bottom w:val="none" w:sz="0" w:space="0" w:color="auto"/>
            <w:right w:val="none" w:sz="0" w:space="0" w:color="auto"/>
          </w:divBdr>
        </w:div>
        <w:div w:id="1076048875">
          <w:marLeft w:val="274"/>
          <w:marRight w:val="0"/>
          <w:marTop w:val="86"/>
          <w:marBottom w:val="0"/>
          <w:divBdr>
            <w:top w:val="none" w:sz="0" w:space="0" w:color="auto"/>
            <w:left w:val="none" w:sz="0" w:space="0" w:color="auto"/>
            <w:bottom w:val="none" w:sz="0" w:space="0" w:color="auto"/>
            <w:right w:val="none" w:sz="0" w:space="0" w:color="auto"/>
          </w:divBdr>
        </w:div>
        <w:div w:id="28648445">
          <w:marLeft w:val="274"/>
          <w:marRight w:val="0"/>
          <w:marTop w:val="86"/>
          <w:marBottom w:val="0"/>
          <w:divBdr>
            <w:top w:val="none" w:sz="0" w:space="0" w:color="auto"/>
            <w:left w:val="none" w:sz="0" w:space="0" w:color="auto"/>
            <w:bottom w:val="none" w:sz="0" w:space="0" w:color="auto"/>
            <w:right w:val="none" w:sz="0" w:space="0" w:color="auto"/>
          </w:divBdr>
        </w:div>
        <w:div w:id="1026558894">
          <w:marLeft w:val="274"/>
          <w:marRight w:val="0"/>
          <w:marTop w:val="86"/>
          <w:marBottom w:val="0"/>
          <w:divBdr>
            <w:top w:val="none" w:sz="0" w:space="0" w:color="auto"/>
            <w:left w:val="none" w:sz="0" w:space="0" w:color="auto"/>
            <w:bottom w:val="none" w:sz="0" w:space="0" w:color="auto"/>
            <w:right w:val="none" w:sz="0" w:space="0" w:color="auto"/>
          </w:divBdr>
        </w:div>
        <w:div w:id="1548027915">
          <w:marLeft w:val="274"/>
          <w:marRight w:val="0"/>
          <w:marTop w:val="86"/>
          <w:marBottom w:val="0"/>
          <w:divBdr>
            <w:top w:val="none" w:sz="0" w:space="0" w:color="auto"/>
            <w:left w:val="none" w:sz="0" w:space="0" w:color="auto"/>
            <w:bottom w:val="none" w:sz="0" w:space="0" w:color="auto"/>
            <w:right w:val="none" w:sz="0" w:space="0" w:color="auto"/>
          </w:divBdr>
        </w:div>
        <w:div w:id="1908612548">
          <w:marLeft w:val="274"/>
          <w:marRight w:val="0"/>
          <w:marTop w:val="86"/>
          <w:marBottom w:val="0"/>
          <w:divBdr>
            <w:top w:val="none" w:sz="0" w:space="0" w:color="auto"/>
            <w:left w:val="none" w:sz="0" w:space="0" w:color="auto"/>
            <w:bottom w:val="none" w:sz="0" w:space="0" w:color="auto"/>
            <w:right w:val="none" w:sz="0" w:space="0" w:color="auto"/>
          </w:divBdr>
        </w:div>
        <w:div w:id="1395153859">
          <w:marLeft w:val="274"/>
          <w:marRight w:val="0"/>
          <w:marTop w:val="86"/>
          <w:marBottom w:val="0"/>
          <w:divBdr>
            <w:top w:val="none" w:sz="0" w:space="0" w:color="auto"/>
            <w:left w:val="none" w:sz="0" w:space="0" w:color="auto"/>
            <w:bottom w:val="none" w:sz="0" w:space="0" w:color="auto"/>
            <w:right w:val="none" w:sz="0" w:space="0" w:color="auto"/>
          </w:divBdr>
        </w:div>
        <w:div w:id="1946493469">
          <w:marLeft w:val="274"/>
          <w:marRight w:val="0"/>
          <w:marTop w:val="86"/>
          <w:marBottom w:val="0"/>
          <w:divBdr>
            <w:top w:val="none" w:sz="0" w:space="0" w:color="auto"/>
            <w:left w:val="none" w:sz="0" w:space="0" w:color="auto"/>
            <w:bottom w:val="none" w:sz="0" w:space="0" w:color="auto"/>
            <w:right w:val="none" w:sz="0" w:space="0" w:color="auto"/>
          </w:divBdr>
        </w:div>
        <w:div w:id="2102406807">
          <w:marLeft w:val="274"/>
          <w:marRight w:val="0"/>
          <w:marTop w:val="86"/>
          <w:marBottom w:val="0"/>
          <w:divBdr>
            <w:top w:val="none" w:sz="0" w:space="0" w:color="auto"/>
            <w:left w:val="none" w:sz="0" w:space="0" w:color="auto"/>
            <w:bottom w:val="none" w:sz="0" w:space="0" w:color="auto"/>
            <w:right w:val="none" w:sz="0" w:space="0" w:color="auto"/>
          </w:divBdr>
        </w:div>
        <w:div w:id="658771716">
          <w:marLeft w:val="274"/>
          <w:marRight w:val="0"/>
          <w:marTop w:val="86"/>
          <w:marBottom w:val="0"/>
          <w:divBdr>
            <w:top w:val="none" w:sz="0" w:space="0" w:color="auto"/>
            <w:left w:val="none" w:sz="0" w:space="0" w:color="auto"/>
            <w:bottom w:val="none" w:sz="0" w:space="0" w:color="auto"/>
            <w:right w:val="none" w:sz="0" w:space="0" w:color="auto"/>
          </w:divBdr>
        </w:div>
        <w:div w:id="1274098017">
          <w:marLeft w:val="274"/>
          <w:marRight w:val="0"/>
          <w:marTop w:val="86"/>
          <w:marBottom w:val="0"/>
          <w:divBdr>
            <w:top w:val="none" w:sz="0" w:space="0" w:color="auto"/>
            <w:left w:val="none" w:sz="0" w:space="0" w:color="auto"/>
            <w:bottom w:val="none" w:sz="0" w:space="0" w:color="auto"/>
            <w:right w:val="none" w:sz="0" w:space="0" w:color="auto"/>
          </w:divBdr>
        </w:div>
      </w:divsChild>
    </w:div>
    <w:div w:id="2005354859">
      <w:bodyDiv w:val="1"/>
      <w:marLeft w:val="0"/>
      <w:marRight w:val="0"/>
      <w:marTop w:val="0"/>
      <w:marBottom w:val="0"/>
      <w:divBdr>
        <w:top w:val="none" w:sz="0" w:space="0" w:color="auto"/>
        <w:left w:val="none" w:sz="0" w:space="0" w:color="auto"/>
        <w:bottom w:val="none" w:sz="0" w:space="0" w:color="auto"/>
        <w:right w:val="none" w:sz="0" w:space="0" w:color="auto"/>
      </w:divBdr>
    </w:div>
    <w:div w:id="2062553204">
      <w:bodyDiv w:val="1"/>
      <w:marLeft w:val="0"/>
      <w:marRight w:val="0"/>
      <w:marTop w:val="0"/>
      <w:marBottom w:val="0"/>
      <w:divBdr>
        <w:top w:val="none" w:sz="0" w:space="0" w:color="auto"/>
        <w:left w:val="none" w:sz="0" w:space="0" w:color="auto"/>
        <w:bottom w:val="none" w:sz="0" w:space="0" w:color="auto"/>
        <w:right w:val="none" w:sz="0" w:space="0" w:color="auto"/>
      </w:divBdr>
    </w:div>
    <w:div w:id="2111117159">
      <w:bodyDiv w:val="1"/>
      <w:marLeft w:val="0"/>
      <w:marRight w:val="0"/>
      <w:marTop w:val="0"/>
      <w:marBottom w:val="0"/>
      <w:divBdr>
        <w:top w:val="none" w:sz="0" w:space="0" w:color="auto"/>
        <w:left w:val="none" w:sz="0" w:space="0" w:color="auto"/>
        <w:bottom w:val="none" w:sz="0" w:space="0" w:color="auto"/>
        <w:right w:val="none" w:sz="0" w:space="0" w:color="auto"/>
      </w:divBdr>
    </w:div>
    <w:div w:id="2116975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PHADUN\Early%20Data\Contributions\RAN2_101\R2-180XXXX%20-%20Msg3%20handling%20in%20early%20data%20transmission-ready.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5NUHHDQN7SK2-1476151046-33127</_dlc_DocId>
    <_dlc_DocIdUrl xmlns="f166a696-7b5b-4ccd-9f0c-ffde0cceec81">
      <Url>https://ericsson.sharepoint.com/sites/star/_layouts/15/DocIdRedir.aspx?ID=5NUHHDQN7SK2-1476151046-33127</Url>
      <Description>5NUHHDQN7SK2-1476151046-33127</Description>
    </_dlc_DocIdUrl>
    <TaxCatchAll xmlns="d8762117-8292-4133-b1c7-eab5c6487cfd"/>
    <_dlc_DocIdPersistId xmlns="f166a696-7b5b-4ccd-9f0c-ffde0cceec81"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79313-AB40-4AAD-B0E4-680930A1CF8F}">
  <ds:schemaRefs>
    <ds:schemaRef ds:uri="http://schemas.microsoft.com/sharepoint/events"/>
  </ds:schemaRefs>
</ds:datastoreItem>
</file>

<file path=customXml/itemProps2.xml><?xml version="1.0" encoding="utf-8"?>
<ds:datastoreItem xmlns:ds="http://schemas.openxmlformats.org/officeDocument/2006/customXml" ds:itemID="{97260FFA-425B-4B96-BBCA-D28BB7AFF5D3}">
  <ds:schemaRef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f166a696-7b5b-4ccd-9f0c-ffde0cceec81"/>
    <ds:schemaRef ds:uri="http://schemas.microsoft.com/office/2006/documentManagement/types"/>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AE3816AD-155E-4841-9E3A-CB7EA71BC7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F3EA15-3B1D-4B83-9801-9E2665A6896D}">
  <ds:schemaRefs>
    <ds:schemaRef ds:uri="Microsoft.SharePoint.Taxonomy.ContentTypeSync"/>
  </ds:schemaRefs>
</ds:datastoreItem>
</file>

<file path=customXml/itemProps5.xml><?xml version="1.0" encoding="utf-8"?>
<ds:datastoreItem xmlns:ds="http://schemas.openxmlformats.org/officeDocument/2006/customXml" ds:itemID="{4817144B-1FB1-45CB-8155-89AD0051EA92}">
  <ds:schemaRefs>
    <ds:schemaRef ds:uri="http://schemas.microsoft.com/sharepoint/v3/contenttype/forms"/>
  </ds:schemaRefs>
</ds:datastoreItem>
</file>

<file path=customXml/itemProps6.xml><?xml version="1.0" encoding="utf-8"?>
<ds:datastoreItem xmlns:ds="http://schemas.openxmlformats.org/officeDocument/2006/customXml" ds:itemID="{C051D23D-C199-4FC7-A956-065A5F523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Msg3 handling in early data transmission-ready</Template>
  <TotalTime>8</TotalTime>
  <Pages>4</Pages>
  <Words>1717</Words>
  <Characters>8771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Dung Pham Van</dc:creator>
  <cp:keywords>Ericsson; TDoc; 3GPP</cp:keywords>
  <cp:lastModifiedBy>Tuomas Tirronen</cp:lastModifiedBy>
  <cp:revision>6</cp:revision>
  <cp:lastPrinted>2008-01-31T16:09:00Z</cp:lastPrinted>
  <dcterms:created xsi:type="dcterms:W3CDTF">2018-09-27T23:08:00Z</dcterms:created>
  <dcterms:modified xsi:type="dcterms:W3CDTF">2018-09-28T05:57:00Z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a7556fbd-1c57-4728-821e-477e7b76c99d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